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10824" w14:textId="77777777" w:rsidR="00023D39" w:rsidRPr="00D5013A" w:rsidRDefault="00023D39" w:rsidP="00EA3A17">
      <w:pPr>
        <w:rPr>
          <w:b/>
          <w:sz w:val="24"/>
          <w:szCs w:val="24"/>
        </w:rPr>
      </w:pPr>
      <w:r w:rsidRPr="00D5013A">
        <w:rPr>
          <w:b/>
          <w:sz w:val="24"/>
          <w:szCs w:val="24"/>
        </w:rPr>
        <w:t xml:space="preserve">UPAG </w:t>
      </w:r>
      <w:r w:rsidR="002B7400" w:rsidRPr="00D5013A">
        <w:rPr>
          <w:b/>
          <w:sz w:val="24"/>
          <w:szCs w:val="24"/>
        </w:rPr>
        <w:t>Değerlendirme Süreçleri</w:t>
      </w:r>
      <w:r w:rsidRPr="00D5013A">
        <w:rPr>
          <w:b/>
          <w:sz w:val="24"/>
          <w:szCs w:val="24"/>
        </w:rPr>
        <w:t xml:space="preserve"> </w:t>
      </w:r>
    </w:p>
    <w:p w14:paraId="2EE227D1" w14:textId="77777777" w:rsidR="005A132D" w:rsidRDefault="00D5013A" w:rsidP="008C2757">
      <w:pPr>
        <w:jc w:val="both"/>
      </w:pPr>
      <w:r>
        <w:t>D</w:t>
      </w:r>
      <w:r w:rsidR="00DB0A7D">
        <w:t xml:space="preserve">eğerlendirme süreçleri </w:t>
      </w:r>
      <w:r w:rsidR="005A132D" w:rsidRPr="00041CA8">
        <w:t xml:space="preserve">UPAG tarafından </w:t>
      </w:r>
      <w:r w:rsidR="00705C72">
        <w:t>yürütülen çağrılar için,</w:t>
      </w:r>
      <w:r w:rsidR="00DB0A7D">
        <w:t xml:space="preserve"> </w:t>
      </w:r>
      <w:r w:rsidR="00B97CEF">
        <w:t xml:space="preserve">Tablo 1’de </w:t>
      </w:r>
      <w:r w:rsidR="00705C72" w:rsidRPr="00041CA8">
        <w:t>paylaşılan</w:t>
      </w:r>
      <w:r w:rsidR="00B26B99">
        <w:t xml:space="preserve"> </w:t>
      </w:r>
      <w:r w:rsidR="00705C72">
        <w:t>değerlendirme yöntemleri</w:t>
      </w:r>
      <w:r w:rsidR="00705C72" w:rsidRPr="00041CA8">
        <w:t xml:space="preserve"> arasından uygun olanı</w:t>
      </w:r>
      <w:r w:rsidR="00705C72">
        <w:t>/olanları</w:t>
      </w:r>
      <w:r w:rsidR="00705C72" w:rsidRPr="00041CA8">
        <w:t xml:space="preserve"> </w:t>
      </w:r>
      <w:r w:rsidR="00887441">
        <w:t>ilgili çağrının niteliği</w:t>
      </w:r>
      <w:r w:rsidR="00041CA8" w:rsidRPr="00041CA8">
        <w:t>,</w:t>
      </w:r>
      <w:r w:rsidR="00705C72">
        <w:t xml:space="preserve"> </w:t>
      </w:r>
      <w:r w:rsidR="00295E47">
        <w:t xml:space="preserve">çağrının </w:t>
      </w:r>
      <w:r w:rsidR="00705C72">
        <w:t xml:space="preserve">takvimi, </w:t>
      </w:r>
      <w:r w:rsidR="00EA3A17" w:rsidRPr="00041CA8">
        <w:t xml:space="preserve">çağrı kapsamında </w:t>
      </w:r>
      <w:r w:rsidR="000445EB">
        <w:t>alınan</w:t>
      </w:r>
      <w:r w:rsidR="00EA3A17" w:rsidRPr="00041CA8">
        <w:t xml:space="preserve"> </w:t>
      </w:r>
      <w:r w:rsidR="000445EB">
        <w:t>başvuru</w:t>
      </w:r>
      <w:r w:rsidR="00EA3A17" w:rsidRPr="00041CA8">
        <w:t xml:space="preserve"> sayısı </w:t>
      </w:r>
      <w:r w:rsidR="00A00346">
        <w:t>ve/</w:t>
      </w:r>
      <w:r w:rsidR="00EA3A17" w:rsidRPr="00041CA8">
        <w:t>ve</w:t>
      </w:r>
      <w:r w:rsidR="00705C72">
        <w:t>ya</w:t>
      </w:r>
      <w:r w:rsidR="00EA3A17" w:rsidRPr="00041CA8">
        <w:t xml:space="preserve"> </w:t>
      </w:r>
      <w:r w:rsidR="000445EB">
        <w:t>başvuruların</w:t>
      </w:r>
      <w:r w:rsidR="00EA3A17" w:rsidRPr="00041CA8">
        <w:t xml:space="preserve"> tematik alanları dikkate alınarak </w:t>
      </w:r>
      <w:r w:rsidR="00BF1898">
        <w:t xml:space="preserve">Grup </w:t>
      </w:r>
      <w:r w:rsidR="009D52C5">
        <w:t xml:space="preserve">tarafından </w:t>
      </w:r>
      <w:r w:rsidR="00EA3A17" w:rsidRPr="00041CA8">
        <w:t>belirlen</w:t>
      </w:r>
      <w:r w:rsidR="00041CA8" w:rsidRPr="00041CA8">
        <w:t>ecektir</w:t>
      </w:r>
      <w:r w:rsidR="00EA3A17" w:rsidRPr="00041CA8">
        <w:t>.</w:t>
      </w:r>
      <w:r w:rsidR="00862CED">
        <w:t xml:space="preserve"> </w:t>
      </w:r>
      <w:r w:rsidR="00F05F96" w:rsidRPr="00041CA8">
        <w:t xml:space="preserve">TÜBİTAK’ın </w:t>
      </w:r>
      <w:r w:rsidR="00A00346">
        <w:t>katılım sağladığı</w:t>
      </w:r>
      <w:r w:rsidR="00F05F96" w:rsidRPr="00041CA8">
        <w:t xml:space="preserve"> uluslararası </w:t>
      </w:r>
      <w:r w:rsidR="00D819D3">
        <w:t>işbirliği</w:t>
      </w:r>
      <w:r w:rsidR="00F05F96" w:rsidRPr="00041CA8">
        <w:t xml:space="preserve"> </w:t>
      </w:r>
      <w:r w:rsidR="00707E44">
        <w:t>çağrıları</w:t>
      </w:r>
      <w:r w:rsidR="00A00346">
        <w:t xml:space="preserve"> kapsamında belirlenen </w:t>
      </w:r>
      <w:r w:rsidR="00214A46">
        <w:t xml:space="preserve">ortak </w:t>
      </w:r>
      <w:r w:rsidR="00F05F96" w:rsidRPr="00041CA8">
        <w:t>kurallara uyma</w:t>
      </w:r>
      <w:r w:rsidR="00A00346">
        <w:t xml:space="preserve">nın </w:t>
      </w:r>
      <w:r w:rsidR="00F05F96" w:rsidRPr="00041CA8">
        <w:t xml:space="preserve">zorunlu olduğu durumlarda ise </w:t>
      </w:r>
      <w:r w:rsidR="00A00346">
        <w:t xml:space="preserve">öncelikle </w:t>
      </w:r>
      <w:r w:rsidR="00F05F96" w:rsidRPr="00041CA8">
        <w:t xml:space="preserve">ilgili </w:t>
      </w:r>
      <w:r w:rsidR="00A00346">
        <w:t xml:space="preserve">çağrı </w:t>
      </w:r>
      <w:r w:rsidR="00F05F96" w:rsidRPr="00041CA8">
        <w:t>kurallar</w:t>
      </w:r>
      <w:r w:rsidR="00A00346">
        <w:t>ı</w:t>
      </w:r>
      <w:r w:rsidR="00F05F96" w:rsidRPr="00041CA8">
        <w:t xml:space="preserve"> u</w:t>
      </w:r>
      <w:r w:rsidR="00705C72">
        <w:t>ygulanacaktır</w:t>
      </w:r>
      <w:r w:rsidR="00F05F96" w:rsidRPr="00041CA8">
        <w:t xml:space="preserve">. </w:t>
      </w:r>
    </w:p>
    <w:p w14:paraId="351E557E" w14:textId="2FFC5C9E" w:rsidR="00705C72" w:rsidRPr="00D86EFE" w:rsidRDefault="00705C72" w:rsidP="00705C72">
      <w:pPr>
        <w:spacing w:after="0"/>
        <w:jc w:val="both"/>
      </w:pPr>
      <w:r w:rsidRPr="00D86EFE">
        <w:rPr>
          <w:b/>
        </w:rPr>
        <w:t>Tablo 1.</w:t>
      </w:r>
      <w:r w:rsidRPr="00D86EFE">
        <w:t xml:space="preserve"> Değerlendirme Yöntemleri</w:t>
      </w:r>
    </w:p>
    <w:p w14:paraId="7F79F4F5" w14:textId="77777777" w:rsidR="00AF4125" w:rsidRPr="00705C72" w:rsidRDefault="00AF4125" w:rsidP="00705C72">
      <w:pPr>
        <w:spacing w:after="0"/>
        <w:jc w:val="both"/>
        <w:rPr>
          <w:sz w:val="20"/>
          <w:szCs w:val="20"/>
        </w:rPr>
      </w:pPr>
    </w:p>
    <w:tbl>
      <w:tblPr>
        <w:tblStyle w:val="TabloKlavuzu"/>
        <w:tblW w:w="4061" w:type="pct"/>
        <w:tblInd w:w="1101" w:type="dxa"/>
        <w:tblLook w:val="04A0" w:firstRow="1" w:lastRow="0" w:firstColumn="1" w:lastColumn="0" w:noHBand="0" w:noVBand="1"/>
      </w:tblPr>
      <w:tblGrid>
        <w:gridCol w:w="1746"/>
        <w:gridCol w:w="2974"/>
        <w:gridCol w:w="2824"/>
      </w:tblGrid>
      <w:tr w:rsidR="00131248" w:rsidRPr="00041CA8" w14:paraId="5CD3B370" w14:textId="77777777" w:rsidTr="00AF4125">
        <w:trPr>
          <w:trHeight w:val="294"/>
        </w:trPr>
        <w:tc>
          <w:tcPr>
            <w:tcW w:w="1157" w:type="pct"/>
            <w:shd w:val="clear" w:color="auto" w:fill="auto"/>
            <w:vAlign w:val="center"/>
          </w:tcPr>
          <w:p w14:paraId="67C29112" w14:textId="77777777" w:rsidR="00131248" w:rsidRPr="00041CA8" w:rsidRDefault="00131248" w:rsidP="00965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pct"/>
          </w:tcPr>
          <w:p w14:paraId="2E4458A0" w14:textId="77777777" w:rsidR="00131248" w:rsidRPr="00041CA8" w:rsidRDefault="00131248" w:rsidP="0096511F">
            <w:pPr>
              <w:jc w:val="center"/>
              <w:rPr>
                <w:b/>
                <w:sz w:val="20"/>
                <w:szCs w:val="20"/>
              </w:rPr>
            </w:pPr>
            <w:r w:rsidRPr="00041CA8">
              <w:rPr>
                <w:b/>
                <w:sz w:val="20"/>
                <w:szCs w:val="20"/>
              </w:rPr>
              <w:t>Araştırma</w:t>
            </w:r>
            <w:r w:rsidR="00B97CEF">
              <w:rPr>
                <w:b/>
                <w:sz w:val="20"/>
                <w:szCs w:val="20"/>
              </w:rPr>
              <w:t>/Seyahat</w:t>
            </w:r>
            <w:r>
              <w:rPr>
                <w:b/>
                <w:sz w:val="20"/>
                <w:szCs w:val="20"/>
              </w:rPr>
              <w:t xml:space="preserve"> Projesi Çağrıları</w:t>
            </w:r>
          </w:p>
        </w:tc>
        <w:tc>
          <w:tcPr>
            <w:tcW w:w="1872" w:type="pct"/>
          </w:tcPr>
          <w:p w14:paraId="0F08B9FC" w14:textId="77777777" w:rsidR="00131248" w:rsidRPr="00BE000C" w:rsidRDefault="00131248" w:rsidP="00965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Ar-Ge ve Yenilik Projesi Çağrıları</w:t>
            </w:r>
          </w:p>
        </w:tc>
      </w:tr>
      <w:tr w:rsidR="00131248" w:rsidRPr="00041CA8" w14:paraId="374D7321" w14:textId="77777777" w:rsidTr="00AF4125">
        <w:tc>
          <w:tcPr>
            <w:tcW w:w="1157" w:type="pct"/>
            <w:shd w:val="clear" w:color="auto" w:fill="auto"/>
            <w:vAlign w:val="center"/>
          </w:tcPr>
          <w:p w14:paraId="4097C70C" w14:textId="77777777" w:rsidR="00131248" w:rsidRPr="00041CA8" w:rsidRDefault="00131248" w:rsidP="000943A1">
            <w:pPr>
              <w:jc w:val="center"/>
              <w:rPr>
                <w:b/>
                <w:sz w:val="20"/>
                <w:szCs w:val="20"/>
              </w:rPr>
            </w:pPr>
            <w:r w:rsidRPr="00041CA8">
              <w:rPr>
                <w:b/>
                <w:sz w:val="20"/>
                <w:szCs w:val="20"/>
              </w:rPr>
              <w:t>Dış danışman</w:t>
            </w:r>
            <w:r w:rsidR="00D5013A">
              <w:rPr>
                <w:b/>
                <w:sz w:val="20"/>
                <w:szCs w:val="20"/>
              </w:rPr>
              <w:t xml:space="preserve"> değerlendirmesi</w:t>
            </w:r>
          </w:p>
        </w:tc>
        <w:tc>
          <w:tcPr>
            <w:tcW w:w="1971" w:type="pct"/>
            <w:shd w:val="clear" w:color="auto" w:fill="auto"/>
            <w:vAlign w:val="center"/>
          </w:tcPr>
          <w:p w14:paraId="19BBFEC3" w14:textId="77777777" w:rsidR="00131248" w:rsidRPr="00041CA8" w:rsidRDefault="00131248" w:rsidP="00D5013A">
            <w:pPr>
              <w:jc w:val="center"/>
              <w:rPr>
                <w:sz w:val="20"/>
                <w:szCs w:val="20"/>
              </w:rPr>
            </w:pPr>
            <w:r w:rsidRPr="00041CA8">
              <w:rPr>
                <w:sz w:val="20"/>
                <w:szCs w:val="20"/>
              </w:rPr>
              <w:t>Ziyaretsiz</w:t>
            </w:r>
          </w:p>
        </w:tc>
        <w:tc>
          <w:tcPr>
            <w:tcW w:w="1872" w:type="pct"/>
            <w:shd w:val="clear" w:color="auto" w:fill="auto"/>
            <w:vAlign w:val="center"/>
          </w:tcPr>
          <w:p w14:paraId="5C294BCA" w14:textId="77777777" w:rsidR="00131248" w:rsidRPr="00041CA8" w:rsidRDefault="00131248" w:rsidP="00D5013A">
            <w:pPr>
              <w:jc w:val="center"/>
              <w:rPr>
                <w:sz w:val="20"/>
                <w:szCs w:val="20"/>
              </w:rPr>
            </w:pPr>
            <w:r w:rsidRPr="00041CA8">
              <w:rPr>
                <w:sz w:val="20"/>
                <w:szCs w:val="20"/>
              </w:rPr>
              <w:t>Ziyaretli</w:t>
            </w:r>
            <w:r>
              <w:rPr>
                <w:sz w:val="20"/>
                <w:szCs w:val="20"/>
              </w:rPr>
              <w:t>/Ziyaretsiz</w:t>
            </w:r>
          </w:p>
        </w:tc>
      </w:tr>
      <w:tr w:rsidR="00131248" w:rsidRPr="00041CA8" w14:paraId="607060CB" w14:textId="77777777" w:rsidTr="00AF4125">
        <w:tc>
          <w:tcPr>
            <w:tcW w:w="1157" w:type="pct"/>
            <w:vAlign w:val="center"/>
          </w:tcPr>
          <w:p w14:paraId="31467E4C" w14:textId="77777777" w:rsidR="00131248" w:rsidRPr="00041CA8" w:rsidRDefault="00131248" w:rsidP="000943A1">
            <w:pPr>
              <w:jc w:val="center"/>
              <w:rPr>
                <w:b/>
                <w:sz w:val="20"/>
                <w:szCs w:val="20"/>
              </w:rPr>
            </w:pPr>
            <w:r w:rsidRPr="00041CA8">
              <w:rPr>
                <w:b/>
                <w:sz w:val="20"/>
                <w:szCs w:val="20"/>
              </w:rPr>
              <w:t>Panel</w:t>
            </w:r>
            <w:r w:rsidR="00D5013A">
              <w:rPr>
                <w:b/>
                <w:sz w:val="20"/>
                <w:szCs w:val="20"/>
              </w:rPr>
              <w:t xml:space="preserve"> değerlendirmesi</w:t>
            </w:r>
          </w:p>
        </w:tc>
        <w:tc>
          <w:tcPr>
            <w:tcW w:w="1971" w:type="pct"/>
            <w:vAlign w:val="center"/>
          </w:tcPr>
          <w:p w14:paraId="7868041F" w14:textId="77777777" w:rsidR="00131248" w:rsidRPr="00041CA8" w:rsidRDefault="00131248" w:rsidP="00D5013A">
            <w:pPr>
              <w:jc w:val="center"/>
              <w:rPr>
                <w:sz w:val="20"/>
                <w:szCs w:val="20"/>
              </w:rPr>
            </w:pPr>
            <w:r w:rsidRPr="00041CA8">
              <w:rPr>
                <w:sz w:val="20"/>
                <w:szCs w:val="20"/>
              </w:rPr>
              <w:t>Sadece Panel</w:t>
            </w:r>
          </w:p>
          <w:p w14:paraId="49730349" w14:textId="77777777" w:rsidR="00131248" w:rsidRPr="00041CA8" w:rsidRDefault="00131248" w:rsidP="00D50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pct"/>
            <w:vAlign w:val="center"/>
          </w:tcPr>
          <w:p w14:paraId="5C51E242" w14:textId="77777777" w:rsidR="00131248" w:rsidRPr="00041CA8" w:rsidRDefault="00131248" w:rsidP="00D5013A">
            <w:pPr>
              <w:jc w:val="center"/>
              <w:rPr>
                <w:sz w:val="20"/>
                <w:szCs w:val="20"/>
              </w:rPr>
            </w:pPr>
            <w:r w:rsidRPr="00041CA8">
              <w:rPr>
                <w:sz w:val="20"/>
                <w:szCs w:val="20"/>
              </w:rPr>
              <w:t>Sadece Panel ya da</w:t>
            </w:r>
          </w:p>
          <w:p w14:paraId="4C61D68B" w14:textId="77777777" w:rsidR="00131248" w:rsidRPr="00041CA8" w:rsidRDefault="00131248" w:rsidP="00D5013A">
            <w:pPr>
              <w:jc w:val="center"/>
              <w:rPr>
                <w:sz w:val="20"/>
                <w:szCs w:val="20"/>
              </w:rPr>
            </w:pPr>
            <w:r w:rsidRPr="00041CA8">
              <w:rPr>
                <w:sz w:val="20"/>
                <w:szCs w:val="20"/>
              </w:rPr>
              <w:t>Dış Danışman (Ziyaretli) + Panel</w:t>
            </w:r>
          </w:p>
        </w:tc>
      </w:tr>
      <w:tr w:rsidR="00131248" w:rsidRPr="00041CA8" w14:paraId="63FC4A0D" w14:textId="77777777" w:rsidTr="00AF4125">
        <w:tc>
          <w:tcPr>
            <w:tcW w:w="1157" w:type="pct"/>
            <w:vAlign w:val="center"/>
          </w:tcPr>
          <w:p w14:paraId="523E44D4" w14:textId="77777777" w:rsidR="00131248" w:rsidRPr="00041CA8" w:rsidRDefault="00D5013A" w:rsidP="00094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Doğrudan </w:t>
            </w:r>
            <w:r w:rsidR="00131248" w:rsidRPr="00041CA8">
              <w:rPr>
                <w:b/>
                <w:sz w:val="20"/>
                <w:szCs w:val="20"/>
              </w:rPr>
              <w:t>GYK</w:t>
            </w:r>
            <w:r>
              <w:rPr>
                <w:b/>
                <w:sz w:val="20"/>
                <w:szCs w:val="20"/>
              </w:rPr>
              <w:t xml:space="preserve"> değerlendirmesi</w:t>
            </w:r>
          </w:p>
        </w:tc>
        <w:tc>
          <w:tcPr>
            <w:tcW w:w="3843" w:type="pct"/>
            <w:gridSpan w:val="2"/>
            <w:vAlign w:val="center"/>
          </w:tcPr>
          <w:p w14:paraId="39E3673C" w14:textId="77777777" w:rsidR="00131248" w:rsidRPr="00041CA8" w:rsidDel="00D538D9" w:rsidRDefault="00D5013A" w:rsidP="00BE0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0B1CC15" w14:textId="77777777" w:rsidR="00245A88" w:rsidRPr="00041CA8" w:rsidRDefault="00245A88" w:rsidP="00893596">
      <w:pPr>
        <w:autoSpaceDE w:val="0"/>
        <w:autoSpaceDN w:val="0"/>
        <w:adjustRightInd w:val="0"/>
        <w:spacing w:after="0" w:line="240" w:lineRule="auto"/>
        <w:ind w:left="-851" w:right="-993"/>
        <w:jc w:val="both"/>
        <w:rPr>
          <w:rFonts w:cs="Arial"/>
          <w:i/>
          <w:sz w:val="20"/>
          <w:szCs w:val="20"/>
        </w:rPr>
      </w:pPr>
    </w:p>
    <w:p w14:paraId="1FEF2908" w14:textId="77777777" w:rsidR="00B97CEF" w:rsidRPr="00B97CEF" w:rsidRDefault="00B97CEF" w:rsidP="002C44E0">
      <w:pPr>
        <w:spacing w:line="240" w:lineRule="auto"/>
        <w:jc w:val="both"/>
        <w:rPr>
          <w:b/>
          <w:sz w:val="2"/>
          <w:szCs w:val="2"/>
          <w:u w:val="single"/>
        </w:rPr>
      </w:pPr>
    </w:p>
    <w:p w14:paraId="3505E4DC" w14:textId="77777777" w:rsidR="0047454F" w:rsidRPr="00041CA8" w:rsidRDefault="00587ED0" w:rsidP="002C44E0">
      <w:pPr>
        <w:spacing w:line="240" w:lineRule="auto"/>
        <w:jc w:val="both"/>
        <w:rPr>
          <w:b/>
          <w:sz w:val="24"/>
          <w:u w:val="single"/>
        </w:rPr>
      </w:pPr>
      <w:r w:rsidRPr="00041CA8">
        <w:rPr>
          <w:b/>
          <w:sz w:val="24"/>
          <w:u w:val="single"/>
        </w:rPr>
        <w:t xml:space="preserve">Dış Danışman Değerlendirmesi </w:t>
      </w:r>
    </w:p>
    <w:p w14:paraId="3E29944E" w14:textId="77777777" w:rsidR="0046644E" w:rsidRPr="00041CA8" w:rsidRDefault="0046644E" w:rsidP="008C2757">
      <w:pPr>
        <w:pStyle w:val="ListeParagraf"/>
        <w:numPr>
          <w:ilvl w:val="0"/>
          <w:numId w:val="9"/>
        </w:numPr>
        <w:spacing w:after="0" w:line="240" w:lineRule="auto"/>
        <w:jc w:val="both"/>
      </w:pPr>
      <w:r w:rsidRPr="00041CA8">
        <w:t>Projeleri değerlendirecek dış danışmanların sayısı aşağıdaki şekilde belirlenir:</w:t>
      </w:r>
    </w:p>
    <w:p w14:paraId="563B3310" w14:textId="457563CA" w:rsidR="00C34744" w:rsidRPr="00041CA8" w:rsidRDefault="00C34744" w:rsidP="00C34744">
      <w:pPr>
        <w:pStyle w:val="ListeParagraf"/>
        <w:numPr>
          <w:ilvl w:val="0"/>
          <w:numId w:val="10"/>
        </w:numPr>
        <w:spacing w:after="0" w:line="240" w:lineRule="auto"/>
        <w:ind w:left="993" w:hanging="219"/>
        <w:jc w:val="both"/>
      </w:pPr>
      <w:r w:rsidRPr="00041CA8">
        <w:t xml:space="preserve">Ziyaretsiz proje değerlendirmeleri için 5 dış danışman belirlenir. </w:t>
      </w:r>
      <w:r>
        <w:t xml:space="preserve">Ancak, seyahat projesi çağrılarında veya proje başına verilen maksimum bütçe PTİ ve Kurum hissesi hariç </w:t>
      </w:r>
      <w:r w:rsidR="009A21ED">
        <w:t>62</w:t>
      </w:r>
      <w:r>
        <w:t xml:space="preserve">0.000 TL veya altı olan çağrılarda ziyaretsiz değerlendirme yapacak danışman sayısı ise </w:t>
      </w:r>
      <w:r w:rsidR="006B3C41">
        <w:t>4</w:t>
      </w:r>
      <w:r>
        <w:t xml:space="preserve">’tür. </w:t>
      </w:r>
      <w:r w:rsidRPr="00041CA8">
        <w:t xml:space="preserve">    </w:t>
      </w:r>
    </w:p>
    <w:p w14:paraId="014F4975" w14:textId="77777777" w:rsidR="00296F2F" w:rsidRPr="00041CA8" w:rsidRDefault="00296F2F" w:rsidP="008C2757">
      <w:pPr>
        <w:pStyle w:val="ListeParagraf"/>
        <w:numPr>
          <w:ilvl w:val="0"/>
          <w:numId w:val="10"/>
        </w:numPr>
        <w:spacing w:after="0" w:line="240" w:lineRule="auto"/>
        <w:ind w:left="993" w:hanging="219"/>
        <w:jc w:val="both"/>
      </w:pPr>
      <w:r w:rsidRPr="00041CA8">
        <w:t>Ziyaretli proje değerlendirmeleri için proje bütçesinin ≤ 5.000.000 TL olması durumunda 3 dış danışman, üstünde olması durumunda 5 dış danışman belirlenir.</w:t>
      </w:r>
    </w:p>
    <w:p w14:paraId="59C1D12A" w14:textId="77777777" w:rsidR="0046644E" w:rsidRPr="00041CA8" w:rsidRDefault="00C4553F" w:rsidP="008C2757">
      <w:pPr>
        <w:pStyle w:val="ListeParagraf"/>
        <w:numPr>
          <w:ilvl w:val="0"/>
          <w:numId w:val="9"/>
        </w:numPr>
        <w:jc w:val="both"/>
      </w:pPr>
      <w:r w:rsidRPr="00041CA8">
        <w:t>Proje</w:t>
      </w:r>
      <w:r w:rsidR="00296F2F" w:rsidRPr="00041CA8">
        <w:t>ler</w:t>
      </w:r>
      <w:r w:rsidR="0047454F" w:rsidRPr="00041CA8">
        <w:t>,</w:t>
      </w:r>
      <w:r w:rsidRPr="00041CA8">
        <w:t xml:space="preserve"> d</w:t>
      </w:r>
      <w:r w:rsidR="00A06FCB" w:rsidRPr="00041CA8">
        <w:t>ış danış</w:t>
      </w:r>
      <w:r w:rsidRPr="00041CA8">
        <w:t>m</w:t>
      </w:r>
      <w:r w:rsidR="00A06FCB" w:rsidRPr="00041CA8">
        <w:t xml:space="preserve">anlar </w:t>
      </w:r>
      <w:r w:rsidR="00895DDC" w:rsidRPr="00041CA8">
        <w:t>tarafında</w:t>
      </w:r>
      <w:r w:rsidR="007B4071" w:rsidRPr="00041CA8">
        <w:t>n</w:t>
      </w:r>
      <w:r w:rsidR="00895DDC" w:rsidRPr="00041CA8">
        <w:t xml:space="preserve"> ilgili </w:t>
      </w:r>
      <w:r w:rsidR="00D5013A">
        <w:t xml:space="preserve">değerlendirme </w:t>
      </w:r>
      <w:r w:rsidR="00895DDC" w:rsidRPr="00041CA8">
        <w:t>kriterler</w:t>
      </w:r>
      <w:r w:rsidR="00D5013A">
        <w:t>i</w:t>
      </w:r>
      <w:r w:rsidR="00895DDC" w:rsidRPr="00041CA8">
        <w:t xml:space="preserve"> </w:t>
      </w:r>
      <w:r w:rsidR="00296F2F" w:rsidRPr="00041CA8">
        <w:t xml:space="preserve">doğrultusunda </w:t>
      </w:r>
      <w:r w:rsidR="00B81424" w:rsidRPr="00041CA8">
        <w:t>değerlendir</w:t>
      </w:r>
      <w:r w:rsidR="00A06FCB" w:rsidRPr="00041CA8">
        <w:t>ilir</w:t>
      </w:r>
      <w:r w:rsidR="0046644E" w:rsidRPr="00041CA8">
        <w:t>.</w:t>
      </w:r>
      <w:r w:rsidR="007B4071" w:rsidRPr="00041CA8">
        <w:t xml:space="preserve"> </w:t>
      </w:r>
    </w:p>
    <w:p w14:paraId="7B8212EB" w14:textId="77777777" w:rsidR="007B4071" w:rsidRDefault="007B4071" w:rsidP="008C2757">
      <w:pPr>
        <w:pStyle w:val="ListeParagraf"/>
        <w:numPr>
          <w:ilvl w:val="0"/>
          <w:numId w:val="9"/>
        </w:numPr>
        <w:jc w:val="both"/>
      </w:pPr>
      <w:r w:rsidRPr="00041CA8">
        <w:t>P</w:t>
      </w:r>
      <w:r w:rsidR="00B81424" w:rsidRPr="00041CA8">
        <w:t>roje</w:t>
      </w:r>
      <w:r w:rsidR="00D5013A">
        <w:t>ler</w:t>
      </w:r>
      <w:r w:rsidR="00B81424" w:rsidRPr="00041CA8">
        <w:t xml:space="preserve"> için </w:t>
      </w:r>
      <w:r w:rsidR="0046644E" w:rsidRPr="00041CA8">
        <w:t xml:space="preserve">GYK </w:t>
      </w:r>
      <w:r w:rsidR="00296F2F" w:rsidRPr="00041CA8">
        <w:t xml:space="preserve">tarafından </w:t>
      </w:r>
      <w:r w:rsidR="0046644E" w:rsidRPr="00041CA8">
        <w:t>GYK puanı</w:t>
      </w:r>
      <w:r w:rsidR="00B81424" w:rsidRPr="00041CA8">
        <w:t xml:space="preserve"> </w:t>
      </w:r>
      <w:r w:rsidR="0046644E" w:rsidRPr="00041CA8">
        <w:t>belirlenir</w:t>
      </w:r>
      <w:r w:rsidRPr="00041CA8">
        <w:t>.</w:t>
      </w:r>
    </w:p>
    <w:p w14:paraId="481CC4CC" w14:textId="77777777" w:rsidR="00B108FA" w:rsidRPr="00B97CEF" w:rsidRDefault="00B108FA" w:rsidP="00B108FA">
      <w:pPr>
        <w:pStyle w:val="ListeParagraf"/>
        <w:jc w:val="both"/>
        <w:rPr>
          <w:sz w:val="2"/>
          <w:szCs w:val="2"/>
        </w:rPr>
      </w:pPr>
    </w:p>
    <w:p w14:paraId="12B690AB" w14:textId="77777777" w:rsidR="003316B5" w:rsidRPr="00041CA8" w:rsidRDefault="00587ED0" w:rsidP="002C44E0">
      <w:pPr>
        <w:spacing w:line="240" w:lineRule="auto"/>
        <w:jc w:val="both"/>
      </w:pPr>
      <w:r w:rsidRPr="00041CA8">
        <w:rPr>
          <w:b/>
          <w:sz w:val="24"/>
          <w:u w:val="single"/>
        </w:rPr>
        <w:t>Panel D</w:t>
      </w:r>
      <w:r w:rsidR="00B81424" w:rsidRPr="00041CA8">
        <w:rPr>
          <w:b/>
          <w:sz w:val="24"/>
          <w:u w:val="single"/>
        </w:rPr>
        <w:t>eğerlendirmesi</w:t>
      </w:r>
    </w:p>
    <w:p w14:paraId="00D89956" w14:textId="77777777" w:rsidR="003316B5" w:rsidRPr="00041CA8" w:rsidRDefault="00BE000C" w:rsidP="008C2757">
      <w:pPr>
        <w:pStyle w:val="ListeParagraf"/>
        <w:numPr>
          <w:ilvl w:val="0"/>
          <w:numId w:val="11"/>
        </w:numPr>
        <w:jc w:val="both"/>
        <w:rPr>
          <w:b/>
        </w:rPr>
      </w:pPr>
      <w:r>
        <w:t xml:space="preserve">Ar-Ge ve Yenilik </w:t>
      </w:r>
      <w:r w:rsidR="00B81424" w:rsidRPr="00041CA8">
        <w:t>projeleri</w:t>
      </w:r>
      <w:r w:rsidR="00B108FA">
        <w:t xml:space="preserve"> çağrılarına yapılan başvuruların </w:t>
      </w:r>
      <w:r w:rsidR="00B81424" w:rsidRPr="00041CA8">
        <w:t xml:space="preserve">değerlendirilmesi için </w:t>
      </w:r>
      <w:r w:rsidR="009A2348">
        <w:t>en az iki dış danışman</w:t>
      </w:r>
      <w:r>
        <w:t>, panel tarihinden önce</w:t>
      </w:r>
      <w:r w:rsidR="00B81424" w:rsidRPr="00041CA8">
        <w:t xml:space="preserve"> </w:t>
      </w:r>
      <w:r w:rsidR="00B06C89">
        <w:t xml:space="preserve">projede yürütücü olarak yer alan </w:t>
      </w:r>
      <w:r w:rsidR="00A00346">
        <w:t>öz</w:t>
      </w:r>
      <w:r w:rsidR="00B81424" w:rsidRPr="00041CA8">
        <w:t>el kuruluş</w:t>
      </w:r>
      <w:r w:rsidR="00B06C89">
        <w:t>u</w:t>
      </w:r>
      <w:r w:rsidR="003316B5" w:rsidRPr="00041CA8">
        <w:t>/kuruluşlar</w:t>
      </w:r>
      <w:r w:rsidR="00A07021" w:rsidRPr="00041CA8">
        <w:t>ı</w:t>
      </w:r>
      <w:r w:rsidR="003316B5" w:rsidRPr="00041CA8">
        <w:t xml:space="preserve"> yerinde ziyaret edebilir.</w:t>
      </w:r>
    </w:p>
    <w:p w14:paraId="107F27FA" w14:textId="77777777" w:rsidR="003316B5" w:rsidRPr="00041CA8" w:rsidRDefault="007E67F2" w:rsidP="008C2757">
      <w:pPr>
        <w:pStyle w:val="ListeParagraf"/>
        <w:numPr>
          <w:ilvl w:val="0"/>
          <w:numId w:val="11"/>
        </w:numPr>
        <w:spacing w:line="240" w:lineRule="auto"/>
        <w:jc w:val="both"/>
      </w:pPr>
      <w:r w:rsidRPr="00041CA8">
        <w:t xml:space="preserve">Dış danışman değerlendirme raporları belirlenecek panelist(ler) tarafından incelenerek </w:t>
      </w:r>
      <w:r w:rsidR="00B81424" w:rsidRPr="00041CA8">
        <w:t xml:space="preserve">proje değerlendirme raporu hazırlanır. </w:t>
      </w:r>
    </w:p>
    <w:p w14:paraId="792D49FB" w14:textId="77777777" w:rsidR="008C60B0" w:rsidRPr="00041CA8" w:rsidRDefault="0041788D" w:rsidP="008C2757">
      <w:pPr>
        <w:pStyle w:val="ListeParagraf"/>
        <w:numPr>
          <w:ilvl w:val="0"/>
          <w:numId w:val="11"/>
        </w:numPr>
        <w:spacing w:line="240" w:lineRule="auto"/>
        <w:jc w:val="both"/>
      </w:pPr>
      <w:r w:rsidRPr="00041CA8">
        <w:t>Proje değerlendirme raporu</w:t>
      </w:r>
      <w:r w:rsidR="00587ED0" w:rsidRPr="00041CA8">
        <w:t xml:space="preserve">, </w:t>
      </w:r>
      <w:r w:rsidR="00B81424" w:rsidRPr="00041CA8">
        <w:t xml:space="preserve">panel oturumunda görüşülerek projenin değerlendirmesi </w:t>
      </w:r>
      <w:r w:rsidR="003316B5" w:rsidRPr="00041CA8">
        <w:t xml:space="preserve">her bir </w:t>
      </w:r>
      <w:r w:rsidR="002D7131">
        <w:t xml:space="preserve">değerlendirme </w:t>
      </w:r>
      <w:r w:rsidR="003316B5" w:rsidRPr="00041CA8">
        <w:t xml:space="preserve">kriterin puanlanmasıyla </w:t>
      </w:r>
      <w:r w:rsidR="00B81424" w:rsidRPr="00041CA8">
        <w:t>tamamlanır.</w:t>
      </w:r>
    </w:p>
    <w:p w14:paraId="597C154F" w14:textId="77777777" w:rsidR="00296F2F" w:rsidRPr="00041CA8" w:rsidRDefault="00296F2F" w:rsidP="00296F2F">
      <w:pPr>
        <w:pStyle w:val="ListeParagraf"/>
        <w:numPr>
          <w:ilvl w:val="0"/>
          <w:numId w:val="11"/>
        </w:numPr>
        <w:jc w:val="both"/>
      </w:pPr>
      <w:r w:rsidRPr="00041CA8">
        <w:t>Proje</w:t>
      </w:r>
      <w:r w:rsidR="00D5013A">
        <w:t>ler</w:t>
      </w:r>
      <w:r w:rsidRPr="00041CA8">
        <w:t xml:space="preserve"> için GYK tarafından GYK puanı belirlenir.</w:t>
      </w:r>
    </w:p>
    <w:p w14:paraId="084A6852" w14:textId="77777777" w:rsidR="00296F2F" w:rsidRDefault="00296F2F" w:rsidP="008C2757">
      <w:pPr>
        <w:pStyle w:val="ListeParagraf"/>
        <w:spacing w:after="0" w:line="240" w:lineRule="auto"/>
        <w:jc w:val="both"/>
      </w:pPr>
    </w:p>
    <w:p w14:paraId="2990C57E" w14:textId="77777777" w:rsidR="00B73332" w:rsidRPr="00041CA8" w:rsidRDefault="002D7131" w:rsidP="008C2757">
      <w:r>
        <w:rPr>
          <w:b/>
          <w:sz w:val="24"/>
          <w:u w:val="single"/>
        </w:rPr>
        <w:t xml:space="preserve">Doğrudan </w:t>
      </w:r>
      <w:r w:rsidR="00296F2F" w:rsidRPr="00041CA8">
        <w:rPr>
          <w:b/>
          <w:sz w:val="24"/>
          <w:u w:val="single"/>
        </w:rPr>
        <w:t>GYK D</w:t>
      </w:r>
      <w:r w:rsidR="0016204B" w:rsidRPr="00041CA8">
        <w:rPr>
          <w:b/>
          <w:sz w:val="24"/>
          <w:u w:val="single"/>
        </w:rPr>
        <w:t>eğerlendirme</w:t>
      </w:r>
      <w:r w:rsidR="00296F2F" w:rsidRPr="00041CA8">
        <w:rPr>
          <w:b/>
          <w:sz w:val="24"/>
          <w:u w:val="single"/>
        </w:rPr>
        <w:t>si</w:t>
      </w:r>
    </w:p>
    <w:p w14:paraId="31F532FD" w14:textId="77777777" w:rsidR="009334C3" w:rsidRDefault="002D7131" w:rsidP="009334C3">
      <w:pPr>
        <w:pStyle w:val="ListeParagraf"/>
        <w:numPr>
          <w:ilvl w:val="0"/>
          <w:numId w:val="13"/>
        </w:numPr>
        <w:spacing w:line="240" w:lineRule="auto"/>
        <w:jc w:val="both"/>
      </w:pPr>
      <w:r>
        <w:t>P</w:t>
      </w:r>
      <w:r w:rsidR="00B73332" w:rsidRPr="00041CA8">
        <w:t xml:space="preserve">rojeler </w:t>
      </w:r>
      <w:r>
        <w:t xml:space="preserve">dış danışman/panel değerlendirilmesine alınmadan </w:t>
      </w:r>
      <w:r w:rsidR="00FD3016">
        <w:t>doğrudan</w:t>
      </w:r>
      <w:r w:rsidR="00B73332" w:rsidRPr="00041CA8">
        <w:t xml:space="preserve"> </w:t>
      </w:r>
      <w:r>
        <w:t>u</w:t>
      </w:r>
      <w:r w:rsidRPr="00041CA8">
        <w:t xml:space="preserve">lusal/uluslararası proje başvuru formu </w:t>
      </w:r>
      <w:r>
        <w:t xml:space="preserve">üzerinden </w:t>
      </w:r>
      <w:r w:rsidR="00B73332" w:rsidRPr="00041CA8">
        <w:t>GYK tarafından değerlendirilebilir.</w:t>
      </w:r>
      <w:r w:rsidR="009334C3" w:rsidRPr="009334C3">
        <w:t xml:space="preserve"> </w:t>
      </w:r>
    </w:p>
    <w:p w14:paraId="26B1E0F0" w14:textId="77777777" w:rsidR="00891091" w:rsidRDefault="00891091" w:rsidP="00117D7E">
      <w:pPr>
        <w:rPr>
          <w:b/>
          <w:sz w:val="24"/>
          <w:u w:val="single"/>
        </w:rPr>
      </w:pPr>
    </w:p>
    <w:p w14:paraId="110F268A" w14:textId="37707225" w:rsidR="00891091" w:rsidRDefault="00891091" w:rsidP="00117D7E">
      <w:pPr>
        <w:rPr>
          <w:b/>
          <w:sz w:val="24"/>
          <w:u w:val="single"/>
        </w:rPr>
      </w:pPr>
    </w:p>
    <w:p w14:paraId="6FD7D113" w14:textId="77777777" w:rsidR="00967961" w:rsidRDefault="00967961" w:rsidP="00117D7E">
      <w:pPr>
        <w:rPr>
          <w:b/>
          <w:sz w:val="24"/>
          <w:u w:val="single"/>
        </w:rPr>
      </w:pPr>
    </w:p>
    <w:p w14:paraId="0D463D53" w14:textId="77777777" w:rsidR="00862CED" w:rsidRPr="00117D7E" w:rsidRDefault="00117D7E" w:rsidP="00117D7E">
      <w:pPr>
        <w:rPr>
          <w:b/>
          <w:sz w:val="24"/>
          <w:u w:val="single"/>
        </w:rPr>
      </w:pPr>
      <w:r w:rsidRPr="00117D7E">
        <w:rPr>
          <w:b/>
          <w:sz w:val="24"/>
          <w:u w:val="single"/>
        </w:rPr>
        <w:lastRenderedPageBreak/>
        <w:t>Diğer Hususlar</w:t>
      </w:r>
      <w:r w:rsidR="00023C0F" w:rsidRPr="00117D7E">
        <w:rPr>
          <w:b/>
          <w:sz w:val="24"/>
          <w:u w:val="single"/>
        </w:rPr>
        <w:t xml:space="preserve"> </w:t>
      </w:r>
    </w:p>
    <w:p w14:paraId="5AAB4DAD" w14:textId="72EBEDCF" w:rsidR="00D5013A" w:rsidRDefault="00D5013A" w:rsidP="00B15461">
      <w:pPr>
        <w:pStyle w:val="ListeParagraf"/>
        <w:numPr>
          <w:ilvl w:val="0"/>
          <w:numId w:val="13"/>
        </w:numPr>
        <w:spacing w:line="240" w:lineRule="auto"/>
        <w:jc w:val="both"/>
      </w:pPr>
      <w:r w:rsidRPr="00041CA8">
        <w:t xml:space="preserve">Uluslararası program kapsamında yapılan anlaşmaya göre ulusal değerlendirme yapılmaksızın uluslararası değerlendirme sonucunun nihai karar kabul edildiği durumlarda, uluslararası değerlendirme </w:t>
      </w:r>
      <w:r w:rsidR="00B15461" w:rsidRPr="00B15461">
        <w:t>sonucunda desteklenmesine karar verilen</w:t>
      </w:r>
      <w:r w:rsidRPr="00041CA8">
        <w:t xml:space="preserve"> projeler</w:t>
      </w:r>
      <w:r w:rsidR="00045474">
        <w:t xml:space="preserve"> </w:t>
      </w:r>
      <w:r w:rsidR="00045474" w:rsidRPr="00045474">
        <w:t xml:space="preserve">için </w:t>
      </w:r>
      <w:r w:rsidR="00045474">
        <w:t xml:space="preserve">sözleşme aşamasında </w:t>
      </w:r>
      <w:r w:rsidR="00045474" w:rsidRPr="00045474">
        <w:t>TÜBİTAK'tan talep edilen bütçe kalemlerinin proje için uygunluğuna yönelik</w:t>
      </w:r>
      <w:r w:rsidR="00045474">
        <w:t xml:space="preserve"> bir değerlendirme yapılması gerekiyorsa</w:t>
      </w:r>
      <w:r>
        <w:t>;</w:t>
      </w:r>
      <w:r w:rsidRPr="00041CA8">
        <w:t xml:space="preserve"> </w:t>
      </w:r>
    </w:p>
    <w:p w14:paraId="78CFCC59" w14:textId="77777777" w:rsidR="00D5013A" w:rsidRPr="00041CA8" w:rsidRDefault="00D5013A" w:rsidP="00D5013A">
      <w:pPr>
        <w:pStyle w:val="ListeParagraf"/>
        <w:numPr>
          <w:ilvl w:val="0"/>
          <w:numId w:val="18"/>
        </w:numPr>
        <w:spacing w:line="240" w:lineRule="auto"/>
        <w:ind w:left="993" w:hanging="284"/>
        <w:jc w:val="both"/>
      </w:pPr>
      <w:r>
        <w:t xml:space="preserve">Başvurular 3 dış danışman tarafından ziyaretli ya da ziyaretsiz olarak bütçe değerlendirmesine tabi tutulabilir. </w:t>
      </w:r>
    </w:p>
    <w:p w14:paraId="56DF5EC1" w14:textId="77777777" w:rsidR="00D5013A" w:rsidRDefault="00D5013A" w:rsidP="00D5013A">
      <w:pPr>
        <w:pStyle w:val="ListeParagraf"/>
        <w:numPr>
          <w:ilvl w:val="0"/>
          <w:numId w:val="18"/>
        </w:numPr>
        <w:spacing w:line="240" w:lineRule="auto"/>
        <w:ind w:left="993" w:hanging="284"/>
        <w:jc w:val="both"/>
      </w:pPr>
      <w:r>
        <w:t>1007 Programı mevzuatında yer alan bütçe paneli uygulaması ihtiyaçlar doğrultusunda kullanılabilir.</w:t>
      </w:r>
      <w:r w:rsidRPr="00041CA8">
        <w:t xml:space="preserve"> </w:t>
      </w:r>
    </w:p>
    <w:p w14:paraId="5242E5A8" w14:textId="77777777" w:rsidR="00D5013A" w:rsidRDefault="00D5013A" w:rsidP="00D5013A">
      <w:pPr>
        <w:pStyle w:val="ListeParagraf"/>
        <w:numPr>
          <w:ilvl w:val="0"/>
          <w:numId w:val="18"/>
        </w:numPr>
        <w:spacing w:line="240" w:lineRule="auto"/>
        <w:ind w:left="993" w:hanging="284"/>
        <w:contextualSpacing w:val="0"/>
        <w:jc w:val="both"/>
      </w:pPr>
      <w:r>
        <w:t>P</w:t>
      </w:r>
      <w:r w:rsidRPr="00041CA8">
        <w:t xml:space="preserve">rojeye ilişkin destek kapsamını belirlemek amacıyla ilgili </w:t>
      </w:r>
      <w:r>
        <w:t>kurum/</w:t>
      </w:r>
      <w:r w:rsidRPr="00041CA8">
        <w:t xml:space="preserve">kuruluştan projeye ilişkin </w:t>
      </w:r>
      <w:r>
        <w:t xml:space="preserve">GYK’ya </w:t>
      </w:r>
      <w:r w:rsidRPr="00041CA8">
        <w:t xml:space="preserve">sunum yapması istenebilir. </w:t>
      </w:r>
    </w:p>
    <w:p w14:paraId="6B714C2C" w14:textId="77777777" w:rsidR="009334C3" w:rsidRDefault="002E52AE" w:rsidP="00D5013A">
      <w:pPr>
        <w:pStyle w:val="ListeParagraf"/>
        <w:numPr>
          <w:ilvl w:val="0"/>
          <w:numId w:val="13"/>
        </w:numPr>
        <w:spacing w:before="120" w:line="240" w:lineRule="auto"/>
        <w:ind w:left="714" w:hanging="357"/>
        <w:contextualSpacing w:val="0"/>
        <w:jc w:val="both"/>
      </w:pPr>
      <w:r>
        <w:t>Çağrı kurallarında</w:t>
      </w:r>
      <w:r w:rsidR="00117D7E">
        <w:t>;</w:t>
      </w:r>
      <w:r>
        <w:t xml:space="preserve"> </w:t>
      </w:r>
      <w:r w:rsidR="00117D7E">
        <w:t xml:space="preserve">(i) </w:t>
      </w:r>
      <w:r>
        <w:t>çağrıya yapılacak başvuruların iki aşamada alınacağı</w:t>
      </w:r>
      <w:r w:rsidR="00117D7E">
        <w:t xml:space="preserve">, (ii) </w:t>
      </w:r>
      <w:r w:rsidR="002D7131" w:rsidRPr="00041CA8">
        <w:t>ulusal değerlendirme yapılmaksızın uluslararası değerlendirme sonucunun nihai karar kabul edil</w:t>
      </w:r>
      <w:r w:rsidR="002D7131">
        <w:t>eceği</w:t>
      </w:r>
      <w:r>
        <w:t xml:space="preserve">, </w:t>
      </w:r>
      <w:r w:rsidR="00117D7E">
        <w:t xml:space="preserve">(iii) </w:t>
      </w:r>
      <w:r>
        <w:t xml:space="preserve">ulusal fon sağlayıcıların sadece uygunluk kontrolü yapacakları ve </w:t>
      </w:r>
      <w:r w:rsidR="00117D7E">
        <w:t xml:space="preserve">(iv) </w:t>
      </w:r>
      <w:r w:rsidR="00023C0F">
        <w:t xml:space="preserve">2. Aşama ulusal başvurusunun yalnızca 2. Aşama uluslararası değerlendirme sonucu olumlu olan projeler için yapılmasının gerektiği belirtilmiş ise 1. Aşama </w:t>
      </w:r>
      <w:r>
        <w:t xml:space="preserve">ulusal </w:t>
      </w:r>
      <w:r w:rsidR="00023C0F">
        <w:t xml:space="preserve">uygunluk kontrolü sonuçları 2. Aşama </w:t>
      </w:r>
      <w:r>
        <w:t xml:space="preserve">ulusal </w:t>
      </w:r>
      <w:r w:rsidR="00023C0F">
        <w:t>uygunluk kontrolü sonu</w:t>
      </w:r>
      <w:r w:rsidR="008B0073">
        <w:t>çları</w:t>
      </w:r>
      <w:r w:rsidR="00023C0F">
        <w:t xml:space="preserve"> olarak kullanılır. </w:t>
      </w:r>
    </w:p>
    <w:p w14:paraId="748434A2" w14:textId="552E3E67" w:rsidR="00041CA8" w:rsidRDefault="009334C3" w:rsidP="00D5013A">
      <w:pPr>
        <w:pStyle w:val="ListeParagraf"/>
        <w:numPr>
          <w:ilvl w:val="0"/>
          <w:numId w:val="13"/>
        </w:numPr>
        <w:spacing w:before="120" w:line="240" w:lineRule="auto"/>
        <w:ind w:left="714" w:hanging="357"/>
        <w:contextualSpacing w:val="0"/>
        <w:jc w:val="both"/>
      </w:pPr>
      <w:r>
        <w:t xml:space="preserve">Bir üst maddede yer alan koşulların geçerli olduğu çağrılarda, </w:t>
      </w:r>
      <w:r w:rsidR="00023C0F">
        <w:t xml:space="preserve">2. Aşamada uluslararası </w:t>
      </w:r>
      <w:proofErr w:type="gramStart"/>
      <w:r w:rsidR="00023C0F">
        <w:t>konsorsiyuma</w:t>
      </w:r>
      <w:proofErr w:type="gramEnd"/>
      <w:r w:rsidR="00023C0F">
        <w:t xml:space="preserve"> </w:t>
      </w:r>
      <w:r w:rsidR="00D77602">
        <w:t>dâhil</w:t>
      </w:r>
      <w:r w:rsidR="00023C0F">
        <w:t xml:space="preserve"> ola</w:t>
      </w:r>
      <w:r w:rsidR="00D77602">
        <w:t>n</w:t>
      </w:r>
      <w:r w:rsidR="00023C0F">
        <w:t xml:space="preserve"> Türk ortak</w:t>
      </w:r>
      <w:r w:rsidR="00D77602">
        <w:t>/ortaklar var ise bu ortağın/ortakların</w:t>
      </w:r>
      <w:r w:rsidR="00023C0F">
        <w:t xml:space="preserve"> uygunluk kontrolü</w:t>
      </w:r>
      <w:r>
        <w:t xml:space="preserve"> alınacak 1. Aşama ulusal başvuru üzerinden </w:t>
      </w:r>
      <w:r w:rsidR="00023C0F">
        <w:t>yapıl</w:t>
      </w:r>
      <w:r w:rsidR="00295E47">
        <w:t>abilir</w:t>
      </w:r>
      <w:r w:rsidR="00023C0F">
        <w:t>.</w:t>
      </w:r>
    </w:p>
    <w:p w14:paraId="6A1CD1BA" w14:textId="2523E656" w:rsidR="00674A39" w:rsidRPr="00041CA8" w:rsidRDefault="00674A39" w:rsidP="00674A39">
      <w:pPr>
        <w:pStyle w:val="ListeParagraf"/>
        <w:numPr>
          <w:ilvl w:val="0"/>
          <w:numId w:val="13"/>
        </w:numPr>
        <w:spacing w:before="120" w:line="240" w:lineRule="auto"/>
        <w:contextualSpacing w:val="0"/>
        <w:jc w:val="both"/>
      </w:pPr>
      <w:proofErr w:type="spellStart"/>
      <w:r w:rsidRPr="00674A39">
        <w:t>Ziyaretli</w:t>
      </w:r>
      <w:proofErr w:type="spellEnd"/>
      <w:r w:rsidRPr="00674A39">
        <w:t xml:space="preserve"> değerlendirmelerde özel kuruluşların yapacağı gerekçe</w:t>
      </w:r>
      <w:bookmarkStart w:id="0" w:name="_GoBack"/>
      <w:bookmarkEnd w:id="0"/>
      <w:r w:rsidRPr="00674A39">
        <w:t>li başvuruyla (çıkar çatışması olması, dış danışmanın/panelistin firma tesislerindeki nesnel değerlendirmeyi engelleyecek tutumu vb.) dış danışmanla</w:t>
      </w:r>
      <w:r>
        <w:t>/panelistle</w:t>
      </w:r>
      <w:r w:rsidRPr="00674A39">
        <w:t xml:space="preserve"> yapılan sözleşme feshedilebilir veya TÜBİTAK’a sunduğu değerlendirme raporu dikkate alınmayabilir.</w:t>
      </w:r>
    </w:p>
    <w:p w14:paraId="0EE42669" w14:textId="77777777" w:rsidR="00816073" w:rsidRDefault="00816073" w:rsidP="00816073">
      <w:pPr>
        <w:spacing w:line="24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Değerlendirme süreçlerinde kullanılacak </w:t>
      </w:r>
      <w:r w:rsidR="00B06C89">
        <w:rPr>
          <w:b/>
          <w:sz w:val="24"/>
          <w:u w:val="single"/>
        </w:rPr>
        <w:t>eşik değerler</w:t>
      </w:r>
    </w:p>
    <w:p w14:paraId="61A251D9" w14:textId="77777777" w:rsidR="007A6396" w:rsidRDefault="00AA6413" w:rsidP="00816073">
      <w:pPr>
        <w:spacing w:line="240" w:lineRule="auto"/>
        <w:jc w:val="both"/>
      </w:pPr>
      <w:r>
        <w:t>UPAG tarafından yürütülen değerlendirme süreçlerinde</w:t>
      </w:r>
      <w:r w:rsidR="002D7131">
        <w:t xml:space="preserve"> </w:t>
      </w:r>
      <w:r>
        <w:t>Tablo 2 ve 3’te payla</w:t>
      </w:r>
      <w:r w:rsidR="007A6396" w:rsidRPr="007A6396">
        <w:t xml:space="preserve">şılan </w:t>
      </w:r>
      <w:r w:rsidR="00B108FA">
        <w:t xml:space="preserve">eşik değerler kullanılacaktır. </w:t>
      </w:r>
      <w:r w:rsidR="002D7131" w:rsidRPr="00041CA8">
        <w:t xml:space="preserve">TÜBİTAK’ın </w:t>
      </w:r>
      <w:r w:rsidR="002D7131">
        <w:t>katılım sağladığı</w:t>
      </w:r>
      <w:r w:rsidR="002D7131" w:rsidRPr="00041CA8">
        <w:t xml:space="preserve"> uluslararası </w:t>
      </w:r>
      <w:r w:rsidR="002D7131">
        <w:t>işbirliği</w:t>
      </w:r>
      <w:r w:rsidR="002D7131" w:rsidRPr="00041CA8">
        <w:t xml:space="preserve"> </w:t>
      </w:r>
      <w:r w:rsidR="002D7131">
        <w:t xml:space="preserve">çağrıları kapsamında belirlenen ortak </w:t>
      </w:r>
      <w:r w:rsidR="002D7131" w:rsidRPr="00041CA8">
        <w:t>kurallara uyma</w:t>
      </w:r>
      <w:r w:rsidR="002D7131">
        <w:t xml:space="preserve">nın </w:t>
      </w:r>
      <w:r w:rsidR="002D7131" w:rsidRPr="00041CA8">
        <w:t xml:space="preserve">zorunlu olduğu durumlarda ise ilgili </w:t>
      </w:r>
      <w:r w:rsidR="002D7131">
        <w:t>çağrı için belirlenen eşik değerlerler kullanılacaktır.</w:t>
      </w:r>
    </w:p>
    <w:p w14:paraId="2E01EF31" w14:textId="27B1A171" w:rsidR="00D86EFE" w:rsidRPr="00705C72" w:rsidRDefault="00705C72" w:rsidP="00705C72">
      <w:pPr>
        <w:spacing w:after="0" w:line="240" w:lineRule="auto"/>
        <w:jc w:val="both"/>
        <w:rPr>
          <w:sz w:val="20"/>
          <w:szCs w:val="20"/>
        </w:rPr>
      </w:pPr>
      <w:r w:rsidRPr="00705C72">
        <w:rPr>
          <w:b/>
          <w:sz w:val="20"/>
          <w:szCs w:val="20"/>
        </w:rPr>
        <w:t>Tablo 2.</w:t>
      </w:r>
      <w:r w:rsidRPr="00705C72">
        <w:rPr>
          <w:sz w:val="20"/>
          <w:szCs w:val="20"/>
        </w:rPr>
        <w:t xml:space="preserve"> </w:t>
      </w:r>
      <w:r w:rsidR="002F4C01" w:rsidRPr="00705C72">
        <w:rPr>
          <w:sz w:val="20"/>
          <w:szCs w:val="20"/>
        </w:rPr>
        <w:t>Araştırma</w:t>
      </w:r>
      <w:r w:rsidR="00564127" w:rsidRPr="00705C72">
        <w:rPr>
          <w:sz w:val="20"/>
          <w:szCs w:val="20"/>
        </w:rPr>
        <w:t>/Seyahat</w:t>
      </w:r>
      <w:r w:rsidR="002F4C01" w:rsidRPr="00705C72">
        <w:rPr>
          <w:sz w:val="20"/>
          <w:szCs w:val="20"/>
        </w:rPr>
        <w:t xml:space="preserve"> Projeleri</w:t>
      </w:r>
      <w:r w:rsidR="00131248" w:rsidRPr="00705C72">
        <w:rPr>
          <w:sz w:val="20"/>
          <w:szCs w:val="20"/>
        </w:rPr>
        <w:t xml:space="preserve"> Çağrıları</w:t>
      </w:r>
      <w:r w:rsidRPr="00705C72">
        <w:rPr>
          <w:sz w:val="20"/>
          <w:szCs w:val="20"/>
        </w:rPr>
        <w:t xml:space="preserve"> Eşik Değerleri</w:t>
      </w:r>
    </w:p>
    <w:tbl>
      <w:tblPr>
        <w:tblW w:w="319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2427"/>
      </w:tblGrid>
      <w:tr w:rsidR="00FA6536" w:rsidRPr="00EB61A3" w14:paraId="0596BC24" w14:textId="77777777" w:rsidTr="00D86EFE">
        <w:trPr>
          <w:trHeight w:val="300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A0032" w14:textId="77777777" w:rsidR="00FA6536" w:rsidRPr="00EB61A3" w:rsidRDefault="00FA6536" w:rsidP="008160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63E74" w14:textId="77777777" w:rsidR="00FA6536" w:rsidRPr="00EB61A3" w:rsidRDefault="00FA6536" w:rsidP="00FA653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Eşik değerleri (6’lık sistem)</w:t>
            </w:r>
          </w:p>
        </w:tc>
      </w:tr>
      <w:tr w:rsidR="00FA6536" w:rsidRPr="00EB61A3" w14:paraId="5E4BADB0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C55F2" w14:textId="77777777" w:rsidR="00FA6536" w:rsidRPr="00EB61A3" w:rsidRDefault="00196A3C" w:rsidP="00B06C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Bilimsel</w:t>
            </w:r>
            <w:r w:rsidR="00274438" w:rsidRPr="00EB61A3">
              <w:rPr>
                <w:b/>
                <w:sz w:val="20"/>
                <w:szCs w:val="20"/>
              </w:rPr>
              <w:t xml:space="preserve"> </w:t>
            </w:r>
            <w:r w:rsidRPr="00EB61A3">
              <w:rPr>
                <w:b/>
                <w:sz w:val="20"/>
                <w:szCs w:val="20"/>
              </w:rPr>
              <w:t>Teknolojik Mükemmeliyet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9E67B" w14:textId="495E2E6F" w:rsidR="00FA6536" w:rsidRPr="00EB61A3" w:rsidRDefault="00FA6536" w:rsidP="00EB61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 xml:space="preserve">≥ </w:t>
            </w:r>
            <w:r w:rsidR="00C15B67">
              <w:rPr>
                <w:b/>
                <w:sz w:val="20"/>
                <w:szCs w:val="20"/>
              </w:rPr>
              <w:t>3,4</w:t>
            </w:r>
          </w:p>
        </w:tc>
      </w:tr>
      <w:tr w:rsidR="00FA6536" w:rsidRPr="00EB61A3" w14:paraId="3EAD5A25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321D7" w14:textId="77777777" w:rsidR="00FA6536" w:rsidRPr="00EB61A3" w:rsidRDefault="00146545" w:rsidP="008160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Yöntem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5F3F8" w14:textId="4D217FE5" w:rsidR="00FA6536" w:rsidRPr="00EB61A3" w:rsidRDefault="00FA6536" w:rsidP="00EB61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 xml:space="preserve">≥ </w:t>
            </w:r>
            <w:r w:rsidR="00C15B67">
              <w:rPr>
                <w:b/>
                <w:sz w:val="20"/>
                <w:szCs w:val="20"/>
              </w:rPr>
              <w:t>3,4</w:t>
            </w:r>
          </w:p>
        </w:tc>
      </w:tr>
      <w:tr w:rsidR="002F4C01" w:rsidRPr="00EB61A3" w14:paraId="069B036F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80A3F" w14:textId="77777777" w:rsidR="002F4C01" w:rsidRPr="00EB61A3" w:rsidRDefault="00196A3C" w:rsidP="00B06C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Uluslararası İşbirliğinin Önemi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DCD56" w14:textId="77777777" w:rsidR="002F4C01" w:rsidRPr="00EB61A3" w:rsidRDefault="002F4C01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≥ 3,4</w:t>
            </w:r>
          </w:p>
        </w:tc>
      </w:tr>
      <w:tr w:rsidR="00FA6536" w:rsidRPr="00EB61A3" w14:paraId="14F9F71A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F6CBB" w14:textId="77777777" w:rsidR="00FA6536" w:rsidRPr="00EB61A3" w:rsidRDefault="002F4C01" w:rsidP="008160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Toplam</w:t>
            </w:r>
            <w:r w:rsidR="007C21C2">
              <w:rPr>
                <w:b/>
                <w:sz w:val="20"/>
                <w:szCs w:val="20"/>
              </w:rPr>
              <w:t xml:space="preserve"> Puan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AF1C6" w14:textId="65AD89DD" w:rsidR="00FA6536" w:rsidRPr="00EB61A3" w:rsidRDefault="002F4C01" w:rsidP="008160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 xml:space="preserve">≥ </w:t>
            </w:r>
            <w:r w:rsidR="00C15B67">
              <w:rPr>
                <w:b/>
                <w:sz w:val="20"/>
                <w:szCs w:val="20"/>
              </w:rPr>
              <w:t>19</w:t>
            </w:r>
          </w:p>
        </w:tc>
      </w:tr>
      <w:tr w:rsidR="007C21C2" w:rsidRPr="00EB61A3" w14:paraId="0EF5742F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94B01" w14:textId="77777777" w:rsidR="007C21C2" w:rsidRPr="00EB61A3" w:rsidRDefault="007C21C2" w:rsidP="0094682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7C21C2">
              <w:rPr>
                <w:b/>
                <w:sz w:val="20"/>
                <w:szCs w:val="20"/>
              </w:rPr>
              <w:t>GYK’nın</w:t>
            </w:r>
            <w:proofErr w:type="spellEnd"/>
            <w:r w:rsidRPr="007C21C2">
              <w:rPr>
                <w:b/>
                <w:sz w:val="20"/>
                <w:szCs w:val="20"/>
              </w:rPr>
              <w:t xml:space="preserve"> </w:t>
            </w:r>
            <w:r w:rsidR="0094682D">
              <w:rPr>
                <w:b/>
                <w:sz w:val="20"/>
                <w:szCs w:val="20"/>
              </w:rPr>
              <w:t>0</w:t>
            </w:r>
            <w:r w:rsidRPr="007C21C2">
              <w:rPr>
                <w:b/>
                <w:sz w:val="20"/>
                <w:szCs w:val="20"/>
              </w:rPr>
              <w:t xml:space="preserve"> Verememe Eşiği Toplam Puan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0F45CC" w14:textId="7D8086AA" w:rsidR="007C21C2" w:rsidRPr="00EB61A3" w:rsidRDefault="007C21C2" w:rsidP="008160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≥ 2</w:t>
            </w:r>
            <w:r w:rsidR="00C15B67">
              <w:rPr>
                <w:b/>
                <w:sz w:val="20"/>
                <w:szCs w:val="20"/>
              </w:rPr>
              <w:t>5</w:t>
            </w:r>
          </w:p>
        </w:tc>
      </w:tr>
    </w:tbl>
    <w:p w14:paraId="7976F714" w14:textId="77777777" w:rsidR="002F4C01" w:rsidRPr="00C956EB" w:rsidRDefault="002F4C01" w:rsidP="00DB60EB">
      <w:pPr>
        <w:spacing w:after="0" w:line="240" w:lineRule="auto"/>
        <w:jc w:val="both"/>
        <w:rPr>
          <w:b/>
          <w:sz w:val="16"/>
          <w:szCs w:val="16"/>
        </w:rPr>
      </w:pPr>
    </w:p>
    <w:p w14:paraId="4ACAC684" w14:textId="72EDCBD5" w:rsidR="00D86EFE" w:rsidRPr="00705C72" w:rsidRDefault="00705C72" w:rsidP="00705C72">
      <w:pPr>
        <w:spacing w:after="0" w:line="240" w:lineRule="auto"/>
        <w:jc w:val="both"/>
        <w:rPr>
          <w:sz w:val="20"/>
          <w:szCs w:val="20"/>
        </w:rPr>
      </w:pPr>
      <w:r w:rsidRPr="00705C72">
        <w:rPr>
          <w:b/>
          <w:sz w:val="20"/>
          <w:szCs w:val="20"/>
        </w:rPr>
        <w:t>Tablo 3.</w:t>
      </w:r>
      <w:r w:rsidRPr="00705C72">
        <w:rPr>
          <w:sz w:val="20"/>
          <w:szCs w:val="20"/>
        </w:rPr>
        <w:t xml:space="preserve"> </w:t>
      </w:r>
      <w:r w:rsidR="002F4C01" w:rsidRPr="00705C72">
        <w:rPr>
          <w:sz w:val="20"/>
          <w:szCs w:val="20"/>
        </w:rPr>
        <w:t>Ar-Ge ve Yenilik Projeleri</w:t>
      </w:r>
      <w:r w:rsidR="00131248" w:rsidRPr="00705C72">
        <w:rPr>
          <w:sz w:val="20"/>
          <w:szCs w:val="20"/>
        </w:rPr>
        <w:t xml:space="preserve"> Çağrıları</w:t>
      </w:r>
      <w:r w:rsidRPr="00705C72">
        <w:rPr>
          <w:sz w:val="20"/>
          <w:szCs w:val="20"/>
        </w:rPr>
        <w:t xml:space="preserve"> Eşik Değerleri</w:t>
      </w:r>
      <w:r w:rsidR="002F4C01" w:rsidRPr="00705C72">
        <w:rPr>
          <w:sz w:val="20"/>
          <w:szCs w:val="20"/>
        </w:rPr>
        <w:t xml:space="preserve"> </w:t>
      </w:r>
    </w:p>
    <w:tbl>
      <w:tblPr>
        <w:tblW w:w="319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2427"/>
      </w:tblGrid>
      <w:tr w:rsidR="002F4C01" w:rsidRPr="00EB61A3" w14:paraId="07D081EB" w14:textId="77777777" w:rsidTr="00D86EFE">
        <w:trPr>
          <w:trHeight w:val="300"/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EDC9F" w14:textId="77777777" w:rsidR="002F4C01" w:rsidRPr="00EB61A3" w:rsidRDefault="002F4C01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2A7E9" w14:textId="77777777" w:rsidR="002F4C01" w:rsidRPr="00EB61A3" w:rsidRDefault="002F4C01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Eşik değerleri (6’lık sistem)</w:t>
            </w:r>
          </w:p>
        </w:tc>
      </w:tr>
      <w:tr w:rsidR="002F4C01" w:rsidRPr="00EB61A3" w14:paraId="2127C4CC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4D9FA" w14:textId="77777777" w:rsidR="002F4C01" w:rsidRPr="00EB61A3" w:rsidRDefault="00274438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Bilimsel Teknolojik Mükemmeliyet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B4234" w14:textId="77777777" w:rsidR="002F4C01" w:rsidRPr="00EB61A3" w:rsidRDefault="00274438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≥ 3</w:t>
            </w:r>
            <w:r w:rsidR="00EB61A3">
              <w:rPr>
                <w:b/>
                <w:sz w:val="20"/>
                <w:szCs w:val="20"/>
              </w:rPr>
              <w:t>,4</w:t>
            </w:r>
          </w:p>
        </w:tc>
      </w:tr>
      <w:tr w:rsidR="00274438" w:rsidRPr="00EB61A3" w14:paraId="01CBFE27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57BFC" w14:textId="77777777" w:rsidR="00274438" w:rsidRPr="00EB61A3" w:rsidRDefault="00274438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Yöntem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23D08" w14:textId="3BF38B7D" w:rsidR="00274438" w:rsidRPr="00EB61A3" w:rsidRDefault="00EB61A3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≥ </w:t>
            </w:r>
            <w:r w:rsidR="00C15B67">
              <w:rPr>
                <w:b/>
                <w:sz w:val="20"/>
                <w:szCs w:val="20"/>
              </w:rPr>
              <w:t>3,4</w:t>
            </w:r>
          </w:p>
        </w:tc>
      </w:tr>
      <w:tr w:rsidR="00274438" w:rsidRPr="00EB61A3" w14:paraId="1A6420E0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1D206" w14:textId="77777777" w:rsidR="00274438" w:rsidRPr="00EB61A3" w:rsidRDefault="00274438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Yaygın Etki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2D7F8" w14:textId="77777777" w:rsidR="00274438" w:rsidRPr="00EB61A3" w:rsidRDefault="00274438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≥ 3,4</w:t>
            </w:r>
          </w:p>
        </w:tc>
      </w:tr>
      <w:tr w:rsidR="00274438" w:rsidRPr="00EB61A3" w14:paraId="2145C1CF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DE920" w14:textId="77777777" w:rsidR="00274438" w:rsidRPr="00EB61A3" w:rsidRDefault="00274438" w:rsidP="00196A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Uluslararası işbirliğinin Önemi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5297E" w14:textId="77777777" w:rsidR="00274438" w:rsidRPr="00EB61A3" w:rsidRDefault="00274438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≥ 3,4</w:t>
            </w:r>
          </w:p>
        </w:tc>
      </w:tr>
      <w:tr w:rsidR="00274438" w:rsidRPr="00EB61A3" w14:paraId="5479D07E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8DF6B" w14:textId="77777777" w:rsidR="00274438" w:rsidRPr="00EB61A3" w:rsidRDefault="00274438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>Toplam</w:t>
            </w:r>
            <w:r w:rsidR="007C21C2">
              <w:rPr>
                <w:b/>
                <w:sz w:val="20"/>
                <w:szCs w:val="20"/>
              </w:rPr>
              <w:t xml:space="preserve"> Puan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0FCEB6" w14:textId="4AFD675B" w:rsidR="00274438" w:rsidRPr="00EB61A3" w:rsidRDefault="00274438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61A3">
              <w:rPr>
                <w:b/>
                <w:sz w:val="20"/>
                <w:szCs w:val="20"/>
              </w:rPr>
              <w:t xml:space="preserve">≥ </w:t>
            </w:r>
            <w:r w:rsidR="00C15B67">
              <w:rPr>
                <w:b/>
                <w:sz w:val="20"/>
                <w:szCs w:val="20"/>
              </w:rPr>
              <w:t>19</w:t>
            </w:r>
          </w:p>
        </w:tc>
      </w:tr>
      <w:tr w:rsidR="00131248" w:rsidRPr="00EB61A3" w14:paraId="0898CC01" w14:textId="77777777" w:rsidTr="00D86EFE">
        <w:trPr>
          <w:trHeight w:val="289"/>
          <w:jc w:val="center"/>
        </w:trPr>
        <w:tc>
          <w:tcPr>
            <w:tcW w:w="2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04A56" w14:textId="77777777" w:rsidR="00131248" w:rsidRPr="00EB61A3" w:rsidRDefault="00131248" w:rsidP="0094682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7C21C2">
              <w:rPr>
                <w:b/>
                <w:sz w:val="20"/>
                <w:szCs w:val="20"/>
              </w:rPr>
              <w:t>GYK’nın</w:t>
            </w:r>
            <w:proofErr w:type="spellEnd"/>
            <w:r w:rsidRPr="007C21C2">
              <w:rPr>
                <w:b/>
                <w:sz w:val="20"/>
                <w:szCs w:val="20"/>
              </w:rPr>
              <w:t xml:space="preserve"> </w:t>
            </w:r>
            <w:r w:rsidR="0094682D">
              <w:rPr>
                <w:b/>
                <w:sz w:val="20"/>
                <w:szCs w:val="20"/>
              </w:rPr>
              <w:t xml:space="preserve">0 </w:t>
            </w:r>
            <w:r w:rsidRPr="007C21C2">
              <w:rPr>
                <w:b/>
                <w:sz w:val="20"/>
                <w:szCs w:val="20"/>
              </w:rPr>
              <w:t>Verememe Eşiği Toplam Puan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0B9E8" w14:textId="33C3B6DF" w:rsidR="00131248" w:rsidRPr="00EB61A3" w:rsidRDefault="00131248" w:rsidP="000943A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≥ 2</w:t>
            </w:r>
            <w:r w:rsidR="00C15B67">
              <w:rPr>
                <w:b/>
                <w:sz w:val="20"/>
                <w:szCs w:val="20"/>
              </w:rPr>
              <w:t>5</w:t>
            </w:r>
          </w:p>
        </w:tc>
      </w:tr>
    </w:tbl>
    <w:p w14:paraId="68D70A38" w14:textId="77777777" w:rsidR="002F4C01" w:rsidRPr="00041CA8" w:rsidRDefault="002F4C01" w:rsidP="00967961">
      <w:pPr>
        <w:spacing w:after="0" w:line="240" w:lineRule="auto"/>
        <w:jc w:val="both"/>
        <w:rPr>
          <w:b/>
          <w:sz w:val="24"/>
        </w:rPr>
      </w:pPr>
    </w:p>
    <w:sectPr w:rsidR="002F4C01" w:rsidRPr="00041CA8" w:rsidSect="0096796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6A2"/>
    <w:multiLevelType w:val="hybridMultilevel"/>
    <w:tmpl w:val="0C14C666"/>
    <w:lvl w:ilvl="0" w:tplc="759A0034">
      <w:start w:val="107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2DA"/>
    <w:multiLevelType w:val="hybridMultilevel"/>
    <w:tmpl w:val="3C9A58C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440D"/>
    <w:multiLevelType w:val="hybridMultilevel"/>
    <w:tmpl w:val="C2E45C4C"/>
    <w:lvl w:ilvl="0" w:tplc="E31C6E1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C314E"/>
    <w:multiLevelType w:val="hybridMultilevel"/>
    <w:tmpl w:val="9320DFD2"/>
    <w:lvl w:ilvl="0" w:tplc="EBA23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1176"/>
    <w:multiLevelType w:val="hybridMultilevel"/>
    <w:tmpl w:val="FE602D2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22D1D"/>
    <w:multiLevelType w:val="hybridMultilevel"/>
    <w:tmpl w:val="3AD8F194"/>
    <w:lvl w:ilvl="0" w:tplc="041F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4FD97637"/>
    <w:multiLevelType w:val="hybridMultilevel"/>
    <w:tmpl w:val="E81E65AC"/>
    <w:lvl w:ilvl="0" w:tplc="C448A5F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12657"/>
    <w:multiLevelType w:val="hybridMultilevel"/>
    <w:tmpl w:val="01BA8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4421F"/>
    <w:multiLevelType w:val="hybridMultilevel"/>
    <w:tmpl w:val="A3F8F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90F3E"/>
    <w:multiLevelType w:val="hybridMultilevel"/>
    <w:tmpl w:val="6BD8B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0755"/>
    <w:multiLevelType w:val="hybridMultilevel"/>
    <w:tmpl w:val="203C0B06"/>
    <w:lvl w:ilvl="0" w:tplc="C448A5F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C73B7"/>
    <w:multiLevelType w:val="hybridMultilevel"/>
    <w:tmpl w:val="1AC4256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F37BE"/>
    <w:multiLevelType w:val="hybridMultilevel"/>
    <w:tmpl w:val="9F96DFFA"/>
    <w:lvl w:ilvl="0" w:tplc="1EFAC6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F5226"/>
    <w:multiLevelType w:val="hybridMultilevel"/>
    <w:tmpl w:val="96085FF0"/>
    <w:lvl w:ilvl="0" w:tplc="031E13A8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B2BAB"/>
    <w:multiLevelType w:val="hybridMultilevel"/>
    <w:tmpl w:val="EDF6B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F53B5"/>
    <w:multiLevelType w:val="hybridMultilevel"/>
    <w:tmpl w:val="FA5AD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1EBC"/>
    <w:multiLevelType w:val="hybridMultilevel"/>
    <w:tmpl w:val="2046A106"/>
    <w:lvl w:ilvl="0" w:tplc="E31C6E1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54328E"/>
    <w:multiLevelType w:val="hybridMultilevel"/>
    <w:tmpl w:val="6CE63F22"/>
    <w:lvl w:ilvl="0" w:tplc="99469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7"/>
  </w:num>
  <w:num w:numId="12">
    <w:abstractNumId w:val="17"/>
  </w:num>
  <w:num w:numId="13">
    <w:abstractNumId w:val="8"/>
  </w:num>
  <w:num w:numId="14">
    <w:abstractNumId w:val="1"/>
  </w:num>
  <w:num w:numId="15">
    <w:abstractNumId w:val="0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69"/>
    <w:rsid w:val="00006195"/>
    <w:rsid w:val="00023C0F"/>
    <w:rsid w:val="00023D39"/>
    <w:rsid w:val="0003378D"/>
    <w:rsid w:val="00041CA8"/>
    <w:rsid w:val="000445EB"/>
    <w:rsid w:val="00045474"/>
    <w:rsid w:val="000943A1"/>
    <w:rsid w:val="000A0ABD"/>
    <w:rsid w:val="000C1184"/>
    <w:rsid w:val="000D01DB"/>
    <w:rsid w:val="00117D7E"/>
    <w:rsid w:val="00131248"/>
    <w:rsid w:val="0013230A"/>
    <w:rsid w:val="00145F64"/>
    <w:rsid w:val="00146545"/>
    <w:rsid w:val="00156E6D"/>
    <w:rsid w:val="0016204B"/>
    <w:rsid w:val="00193769"/>
    <w:rsid w:val="00196A3C"/>
    <w:rsid w:val="001C68F9"/>
    <w:rsid w:val="00214A46"/>
    <w:rsid w:val="0022634F"/>
    <w:rsid w:val="00230131"/>
    <w:rsid w:val="002372FF"/>
    <w:rsid w:val="00245A88"/>
    <w:rsid w:val="00253389"/>
    <w:rsid w:val="002641B6"/>
    <w:rsid w:val="00274438"/>
    <w:rsid w:val="00295E47"/>
    <w:rsid w:val="00296F2F"/>
    <w:rsid w:val="002B7400"/>
    <w:rsid w:val="002C44E0"/>
    <w:rsid w:val="002D7131"/>
    <w:rsid w:val="002E52AE"/>
    <w:rsid w:val="002F4C01"/>
    <w:rsid w:val="002F6278"/>
    <w:rsid w:val="00312AA9"/>
    <w:rsid w:val="003316B5"/>
    <w:rsid w:val="0034195A"/>
    <w:rsid w:val="0036786F"/>
    <w:rsid w:val="00376F2C"/>
    <w:rsid w:val="00382703"/>
    <w:rsid w:val="003C5734"/>
    <w:rsid w:val="003C6C35"/>
    <w:rsid w:val="003F19F5"/>
    <w:rsid w:val="004167B7"/>
    <w:rsid w:val="0041788D"/>
    <w:rsid w:val="004405A4"/>
    <w:rsid w:val="00465C3E"/>
    <w:rsid w:val="0046644E"/>
    <w:rsid w:val="0047454F"/>
    <w:rsid w:val="004B1296"/>
    <w:rsid w:val="00534AD9"/>
    <w:rsid w:val="00564127"/>
    <w:rsid w:val="00570986"/>
    <w:rsid w:val="00587ED0"/>
    <w:rsid w:val="005A132D"/>
    <w:rsid w:val="005A727B"/>
    <w:rsid w:val="005B6FF0"/>
    <w:rsid w:val="005F4917"/>
    <w:rsid w:val="00616B2D"/>
    <w:rsid w:val="006363AD"/>
    <w:rsid w:val="00674A39"/>
    <w:rsid w:val="006855A4"/>
    <w:rsid w:val="006B3C41"/>
    <w:rsid w:val="006F16E5"/>
    <w:rsid w:val="00705C72"/>
    <w:rsid w:val="00707E44"/>
    <w:rsid w:val="00717BEF"/>
    <w:rsid w:val="00773E2D"/>
    <w:rsid w:val="007873F1"/>
    <w:rsid w:val="0079728D"/>
    <w:rsid w:val="007A6396"/>
    <w:rsid w:val="007A6CB7"/>
    <w:rsid w:val="007B1BC1"/>
    <w:rsid w:val="007B4071"/>
    <w:rsid w:val="007C21C2"/>
    <w:rsid w:val="007D2155"/>
    <w:rsid w:val="007D5704"/>
    <w:rsid w:val="007E4649"/>
    <w:rsid w:val="007E67F2"/>
    <w:rsid w:val="0081067F"/>
    <w:rsid w:val="00812391"/>
    <w:rsid w:val="00816073"/>
    <w:rsid w:val="00826E32"/>
    <w:rsid w:val="00857D99"/>
    <w:rsid w:val="00862CED"/>
    <w:rsid w:val="00880106"/>
    <w:rsid w:val="00887441"/>
    <w:rsid w:val="00891091"/>
    <w:rsid w:val="00893596"/>
    <w:rsid w:val="00893F6D"/>
    <w:rsid w:val="00895DDC"/>
    <w:rsid w:val="008B0073"/>
    <w:rsid w:val="008C016A"/>
    <w:rsid w:val="008C03D7"/>
    <w:rsid w:val="008C2757"/>
    <w:rsid w:val="008C60B0"/>
    <w:rsid w:val="008E58E2"/>
    <w:rsid w:val="009062D7"/>
    <w:rsid w:val="009334C3"/>
    <w:rsid w:val="00934243"/>
    <w:rsid w:val="0094682D"/>
    <w:rsid w:val="009650C1"/>
    <w:rsid w:val="0096511F"/>
    <w:rsid w:val="00967961"/>
    <w:rsid w:val="009A21ED"/>
    <w:rsid w:val="009A2348"/>
    <w:rsid w:val="009B1347"/>
    <w:rsid w:val="009B2FB6"/>
    <w:rsid w:val="009D034B"/>
    <w:rsid w:val="009D52C5"/>
    <w:rsid w:val="00A00346"/>
    <w:rsid w:val="00A03634"/>
    <w:rsid w:val="00A06FCB"/>
    <w:rsid w:val="00A07021"/>
    <w:rsid w:val="00A15A46"/>
    <w:rsid w:val="00A3795D"/>
    <w:rsid w:val="00A4213A"/>
    <w:rsid w:val="00A42D10"/>
    <w:rsid w:val="00A5185B"/>
    <w:rsid w:val="00AA6413"/>
    <w:rsid w:val="00AB607A"/>
    <w:rsid w:val="00AD66E5"/>
    <w:rsid w:val="00AF4125"/>
    <w:rsid w:val="00B06C89"/>
    <w:rsid w:val="00B108FA"/>
    <w:rsid w:val="00B15461"/>
    <w:rsid w:val="00B25E95"/>
    <w:rsid w:val="00B26B99"/>
    <w:rsid w:val="00B72076"/>
    <w:rsid w:val="00B73332"/>
    <w:rsid w:val="00B737C2"/>
    <w:rsid w:val="00B81424"/>
    <w:rsid w:val="00B84156"/>
    <w:rsid w:val="00B97CEF"/>
    <w:rsid w:val="00BE000C"/>
    <w:rsid w:val="00BF1898"/>
    <w:rsid w:val="00C15B67"/>
    <w:rsid w:val="00C32DFD"/>
    <w:rsid w:val="00C34744"/>
    <w:rsid w:val="00C4553F"/>
    <w:rsid w:val="00C7295D"/>
    <w:rsid w:val="00C81621"/>
    <w:rsid w:val="00C956EB"/>
    <w:rsid w:val="00CB308D"/>
    <w:rsid w:val="00CD46DB"/>
    <w:rsid w:val="00D234C7"/>
    <w:rsid w:val="00D5013A"/>
    <w:rsid w:val="00D5014F"/>
    <w:rsid w:val="00D5184A"/>
    <w:rsid w:val="00D538D9"/>
    <w:rsid w:val="00D53A2C"/>
    <w:rsid w:val="00D75137"/>
    <w:rsid w:val="00D77602"/>
    <w:rsid w:val="00D819D3"/>
    <w:rsid w:val="00D84219"/>
    <w:rsid w:val="00D86EFE"/>
    <w:rsid w:val="00D935A2"/>
    <w:rsid w:val="00DA0377"/>
    <w:rsid w:val="00DB0A7D"/>
    <w:rsid w:val="00DB57FB"/>
    <w:rsid w:val="00DB60EB"/>
    <w:rsid w:val="00DC0DBF"/>
    <w:rsid w:val="00DE5994"/>
    <w:rsid w:val="00E00BAF"/>
    <w:rsid w:val="00E05B6C"/>
    <w:rsid w:val="00E40A03"/>
    <w:rsid w:val="00E56948"/>
    <w:rsid w:val="00E70C7A"/>
    <w:rsid w:val="00E77B68"/>
    <w:rsid w:val="00E862EF"/>
    <w:rsid w:val="00EA3A17"/>
    <w:rsid w:val="00EB61A3"/>
    <w:rsid w:val="00F05F96"/>
    <w:rsid w:val="00F370DE"/>
    <w:rsid w:val="00F73597"/>
    <w:rsid w:val="00FA6536"/>
    <w:rsid w:val="00FD3016"/>
    <w:rsid w:val="00FF46F0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CFF2"/>
  <w15:docId w15:val="{28A36F19-16CA-4DE9-AA07-606BCC2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55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16A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F19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19F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19F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19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19F5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3F1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A7BC-E85B-4A26-87B5-7EA60A1B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Can ÖZCAN</dc:creator>
  <cp:keywords/>
  <cp:lastModifiedBy>Dursun Can ÖZCAN</cp:lastModifiedBy>
  <cp:revision>19</cp:revision>
  <cp:lastPrinted>2019-10-28T11:36:00Z</cp:lastPrinted>
  <dcterms:created xsi:type="dcterms:W3CDTF">2020-09-01T06:24:00Z</dcterms:created>
  <dcterms:modified xsi:type="dcterms:W3CDTF">2023-05-05T07:54:00Z</dcterms:modified>
</cp:coreProperties>
</file>