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3E" w:rsidRDefault="00B80F3E" w:rsidP="00B80F3E">
      <w:pPr>
        <w:spacing w:before="100" w:beforeAutospacing="1" w:after="159"/>
        <w:rPr>
          <w:rFonts w:cstheme="minorHAnsi"/>
          <w:b/>
          <w:bCs/>
        </w:rPr>
      </w:pPr>
      <w:r w:rsidRPr="00904E62">
        <w:rPr>
          <w:rFonts w:cstheme="minorHAnsi"/>
          <w:b/>
          <w:bCs/>
          <w:noProof/>
          <w:lang w:eastAsia="tr-TR"/>
        </w:rPr>
        <w:drawing>
          <wp:inline distT="0" distB="0" distL="0" distR="0">
            <wp:extent cx="1676400" cy="1022888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09" cy="103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b/>
          <w:bCs/>
        </w:rPr>
        <w:tab/>
      </w:r>
      <w:r w:rsidRPr="00904E62">
        <w:rPr>
          <w:rFonts w:cstheme="minorHAnsi"/>
          <w:noProof/>
          <w:lang w:eastAsia="tr-TR"/>
        </w:rPr>
        <w:drawing>
          <wp:inline distT="0" distB="0" distL="0" distR="0" wp14:anchorId="545CB7B6" wp14:editId="04009E8F">
            <wp:extent cx="1558290" cy="1210883"/>
            <wp:effectExtent l="0" t="0" r="381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2236" cy="12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CA" w:rsidRPr="00904E62" w:rsidRDefault="00436DCA" w:rsidP="00B80F3E">
      <w:pPr>
        <w:spacing w:before="100" w:beforeAutospacing="1" w:after="159"/>
        <w:rPr>
          <w:rFonts w:cstheme="minorHAnsi"/>
          <w:b/>
          <w:bCs/>
        </w:rPr>
      </w:pPr>
    </w:p>
    <w:p w:rsidR="00B80F3E" w:rsidRPr="00904E62" w:rsidRDefault="00B80F3E" w:rsidP="00B80F3E">
      <w:pPr>
        <w:spacing w:before="100" w:beforeAutospacing="1" w:after="159"/>
        <w:jc w:val="center"/>
        <w:rPr>
          <w:rFonts w:eastAsia="Times New Roman" w:cstheme="minorHAnsi"/>
          <w:lang w:val="en-US" w:eastAsia="tr-TR"/>
        </w:rPr>
      </w:pPr>
      <w:r w:rsidRPr="00904E62">
        <w:rPr>
          <w:rFonts w:cstheme="minorHAnsi"/>
          <w:b/>
          <w:bCs/>
        </w:rPr>
        <w:t>2535 TÜBİTAK-MSRT CALL FOR PROPOSALS 2019</w:t>
      </w:r>
    </w:p>
    <w:p w:rsidR="001F7E02" w:rsidRPr="00540908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540908">
        <w:rPr>
          <w:rFonts w:cs="Calibri"/>
        </w:rPr>
        <w:t>Based</w:t>
      </w:r>
      <w:proofErr w:type="spellEnd"/>
      <w:r w:rsidRPr="00540908">
        <w:rPr>
          <w:rFonts w:cs="Calibri"/>
        </w:rPr>
        <w:t xml:space="preserve"> on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Memorandum of </w:t>
      </w:r>
      <w:proofErr w:type="spellStart"/>
      <w:r w:rsidRPr="00540908">
        <w:rPr>
          <w:rFonts w:cs="Calibri"/>
        </w:rPr>
        <w:t>Understanding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Scientific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Technological</w:t>
      </w:r>
      <w:proofErr w:type="spellEnd"/>
      <w:r w:rsidRPr="00540908">
        <w:rPr>
          <w:rFonts w:cs="Calibri"/>
        </w:rPr>
        <w:t xml:space="preserve"> Research</w:t>
      </w:r>
      <w:r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Council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Turkey</w:t>
      </w:r>
      <w:proofErr w:type="spellEnd"/>
      <w:r w:rsidRPr="00540908">
        <w:rPr>
          <w:rFonts w:cs="Calibri"/>
        </w:rPr>
        <w:t xml:space="preserve"> (TÜBİTAK)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Ministry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Science</w:t>
      </w:r>
      <w:proofErr w:type="spellEnd"/>
      <w:r w:rsidRPr="00540908">
        <w:rPr>
          <w:rFonts w:cs="Calibri"/>
        </w:rPr>
        <w:t xml:space="preserve"> Research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Technology</w:t>
      </w:r>
      <w:proofErr w:type="spellEnd"/>
      <w:r w:rsidRPr="00540908">
        <w:rPr>
          <w:rFonts w:cs="Calibri"/>
        </w:rPr>
        <w:t xml:space="preserve"> (MSRT) </w:t>
      </w:r>
      <w:proofErr w:type="spellStart"/>
      <w:r w:rsidRPr="00540908">
        <w:rPr>
          <w:rFonts w:cs="Calibri"/>
        </w:rPr>
        <w:t>signed</w:t>
      </w:r>
      <w:proofErr w:type="spellEnd"/>
      <w:r w:rsidRPr="00540908">
        <w:rPr>
          <w:rFonts w:cs="Calibri"/>
        </w:rPr>
        <w:t xml:space="preserve"> in</w:t>
      </w:r>
      <w:r>
        <w:rPr>
          <w:rFonts w:cs="Calibri"/>
        </w:rPr>
        <w:t xml:space="preserve"> </w:t>
      </w:r>
      <w:r w:rsidRPr="00540908">
        <w:rPr>
          <w:rFonts w:cs="Calibri"/>
        </w:rPr>
        <w:t xml:space="preserve">2017, </w:t>
      </w:r>
      <w:proofErr w:type="spellStart"/>
      <w:r w:rsidRPr="00540908">
        <w:rPr>
          <w:rFonts w:cs="Calibri"/>
        </w:rPr>
        <w:t>this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call</w:t>
      </w:r>
      <w:proofErr w:type="spellEnd"/>
      <w:r w:rsidRPr="00540908">
        <w:rPr>
          <w:rFonts w:cs="Calibri"/>
        </w:rPr>
        <w:t xml:space="preserve"> is </w:t>
      </w:r>
      <w:proofErr w:type="spellStart"/>
      <w:r w:rsidRPr="00540908">
        <w:rPr>
          <w:rFonts w:cs="Calibri"/>
        </w:rPr>
        <w:t>launched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enhance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cooperative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activities</w:t>
      </w:r>
      <w:proofErr w:type="spellEnd"/>
      <w:r w:rsidRPr="00540908">
        <w:rPr>
          <w:rFonts w:cs="Calibri"/>
        </w:rPr>
        <w:t xml:space="preserve"> in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field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research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two</w:t>
      </w:r>
      <w:proofErr w:type="spellEnd"/>
      <w:r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countries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main </w:t>
      </w:r>
      <w:proofErr w:type="spellStart"/>
      <w:r w:rsidRPr="00540908">
        <w:rPr>
          <w:rFonts w:cs="Calibri"/>
        </w:rPr>
        <w:t>objective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this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call</w:t>
      </w:r>
      <w:proofErr w:type="spellEnd"/>
      <w:r w:rsidRPr="00540908">
        <w:rPr>
          <w:rFonts w:cs="Calibri"/>
        </w:rPr>
        <w:t xml:space="preserve"> is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support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research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promote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integrated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joint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research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two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countries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through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synergy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both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countries</w:t>
      </w:r>
      <w:proofErr w:type="spellEnd"/>
      <w:r w:rsidRPr="00540908">
        <w:rPr>
          <w:rFonts w:cs="Calibri"/>
        </w:rPr>
        <w:t xml:space="preserve">’ </w:t>
      </w:r>
      <w:proofErr w:type="spellStart"/>
      <w:r w:rsidRPr="00540908">
        <w:rPr>
          <w:rFonts w:cs="Calibri"/>
        </w:rPr>
        <w:t>teams</w:t>
      </w:r>
      <w:proofErr w:type="spellEnd"/>
      <w:r w:rsidRPr="00540908">
        <w:rPr>
          <w:rFonts w:cs="Calibri"/>
        </w:rPr>
        <w:t>.</w:t>
      </w:r>
    </w:p>
    <w:p w:rsidR="001F7E02" w:rsidRPr="00540908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F7E02" w:rsidRPr="00540908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purpose</w:t>
      </w:r>
      <w:proofErr w:type="spellEnd"/>
      <w:r w:rsidRPr="00540908">
        <w:rPr>
          <w:rFonts w:cs="Calibri"/>
        </w:rPr>
        <w:t xml:space="preserve"> of a </w:t>
      </w:r>
      <w:proofErr w:type="spellStart"/>
      <w:r w:rsidRPr="00540908">
        <w:rPr>
          <w:rFonts w:cs="Calibri"/>
        </w:rPr>
        <w:t>partnership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Calibri"/>
        </w:rPr>
        <w:t xml:space="preserve"> TÜBİTAK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MSRT is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support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for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which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there</w:t>
      </w:r>
      <w:proofErr w:type="spellEnd"/>
      <w:r w:rsidRPr="00540908">
        <w:rPr>
          <w:rFonts w:cs="Calibri"/>
        </w:rPr>
        <w:t xml:space="preserve"> is</w:t>
      </w:r>
      <w:r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genuine</w:t>
      </w:r>
      <w:proofErr w:type="spellEnd"/>
      <w:r w:rsidRPr="00540908">
        <w:rPr>
          <w:rFonts w:cs="Calibri"/>
        </w:rPr>
        <w:t xml:space="preserve"> Turkish-</w:t>
      </w:r>
      <w:proofErr w:type="spellStart"/>
      <w:r w:rsidRPr="00540908">
        <w:rPr>
          <w:rFonts w:cs="Calibri"/>
        </w:rPr>
        <w:t>Iranian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collaboration</w:t>
      </w:r>
      <w:proofErr w:type="spellEnd"/>
      <w:r w:rsidRPr="00540908">
        <w:rPr>
          <w:rFonts w:cs="Calibri"/>
        </w:rPr>
        <w:t xml:space="preserve">. Under </w:t>
      </w:r>
      <w:proofErr w:type="spellStart"/>
      <w:r w:rsidRPr="00540908">
        <w:rPr>
          <w:rFonts w:cs="Calibri"/>
        </w:rPr>
        <w:t>this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call</w:t>
      </w:r>
      <w:proofErr w:type="spellEnd"/>
      <w:r w:rsidRPr="00540908">
        <w:rPr>
          <w:rFonts w:cs="Calibri"/>
        </w:rPr>
        <w:t xml:space="preserve">, </w:t>
      </w:r>
      <w:proofErr w:type="spellStart"/>
      <w:r w:rsidRPr="00540908">
        <w:rPr>
          <w:rFonts w:cs="Calibri"/>
        </w:rPr>
        <w:t>only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research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, </w:t>
      </w:r>
      <w:proofErr w:type="spellStart"/>
      <w:r w:rsidRPr="00540908">
        <w:rPr>
          <w:rFonts w:cs="Times New Roman"/>
          <w:u w:val="single"/>
        </w:rPr>
        <w:t>focusing</w:t>
      </w:r>
      <w:proofErr w:type="spellEnd"/>
      <w:r w:rsidRPr="00540908">
        <w:rPr>
          <w:rFonts w:cs="Times New Roman"/>
          <w:u w:val="single"/>
        </w:rPr>
        <w:t xml:space="preserve"> on </w:t>
      </w:r>
      <w:proofErr w:type="spellStart"/>
      <w:r w:rsidRPr="00540908">
        <w:rPr>
          <w:rFonts w:cs="Times New Roman"/>
          <w:u w:val="single"/>
        </w:rPr>
        <w:t>producing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new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knowledge</w:t>
      </w:r>
      <w:proofErr w:type="spellEnd"/>
      <w:r w:rsidRPr="00540908">
        <w:rPr>
          <w:rFonts w:cs="Times New Roman"/>
          <w:u w:val="single"/>
        </w:rPr>
        <w:t xml:space="preserve">; </w:t>
      </w:r>
      <w:proofErr w:type="spellStart"/>
      <w:r w:rsidRPr="00540908">
        <w:rPr>
          <w:rFonts w:cs="Times New Roman"/>
          <w:u w:val="single"/>
        </w:rPr>
        <w:t>making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new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scientific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interpretations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or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solving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technological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problems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based</w:t>
      </w:r>
      <w:proofErr w:type="spellEnd"/>
      <w:r w:rsidRPr="00540908">
        <w:rPr>
          <w:rFonts w:cs="Times New Roman"/>
          <w:u w:val="single"/>
        </w:rPr>
        <w:t xml:space="preserve"> on </w:t>
      </w:r>
      <w:proofErr w:type="spellStart"/>
      <w:r w:rsidRPr="00540908">
        <w:rPr>
          <w:rFonts w:cs="Times New Roman"/>
          <w:u w:val="single"/>
        </w:rPr>
        <w:t>scientific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Times New Roman"/>
          <w:u w:val="single"/>
        </w:rPr>
        <w:t>principles</w:t>
      </w:r>
      <w:proofErr w:type="spellEnd"/>
      <w:r w:rsidRPr="00540908">
        <w:rPr>
          <w:rFonts w:cs="Times New Roman"/>
          <w:u w:val="single"/>
        </w:rPr>
        <w:t xml:space="preserve"> </w:t>
      </w:r>
      <w:proofErr w:type="spellStart"/>
      <w:r w:rsidRPr="00540908">
        <w:rPr>
          <w:rFonts w:cs="Calibri"/>
          <w:u w:val="single"/>
        </w:rPr>
        <w:t>will</w:t>
      </w:r>
      <w:proofErr w:type="spellEnd"/>
      <w:r w:rsidRPr="00540908">
        <w:rPr>
          <w:rFonts w:cs="Calibri"/>
          <w:u w:val="single"/>
        </w:rPr>
        <w:t xml:space="preserve"> be </w:t>
      </w:r>
      <w:proofErr w:type="spellStart"/>
      <w:r w:rsidRPr="00540908">
        <w:rPr>
          <w:rFonts w:cs="Calibri"/>
          <w:u w:val="single"/>
        </w:rPr>
        <w:t>funded</w:t>
      </w:r>
      <w:proofErr w:type="spellEnd"/>
      <w:r w:rsidRPr="00540908">
        <w:rPr>
          <w:rFonts w:cs="Calibri"/>
          <w:u w:val="single"/>
        </w:rPr>
        <w:t>.</w:t>
      </w:r>
      <w:r w:rsidRPr="00540908">
        <w:rPr>
          <w:rFonts w:cs="Calibri"/>
        </w:rPr>
        <w:t xml:space="preserve"> 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will</w:t>
      </w:r>
      <w:proofErr w:type="spellEnd"/>
      <w:r w:rsidRPr="00540908">
        <w:rPr>
          <w:rFonts w:cs="Calibri"/>
        </w:rPr>
        <w:t xml:space="preserve"> be </w:t>
      </w:r>
      <w:proofErr w:type="spellStart"/>
      <w:r w:rsidRPr="00540908">
        <w:rPr>
          <w:rFonts w:cs="Calibri"/>
        </w:rPr>
        <w:t>implemented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through</w:t>
      </w:r>
      <w:proofErr w:type="spellEnd"/>
      <w:r w:rsidRPr="00540908">
        <w:rPr>
          <w:rFonts w:cs="Times New Roman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exchange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researcher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knowledge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Based</w:t>
      </w:r>
      <w:proofErr w:type="spellEnd"/>
      <w:r w:rsidRPr="00540908">
        <w:rPr>
          <w:rFonts w:cs="Calibri"/>
        </w:rPr>
        <w:t xml:space="preserve"> on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respective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bilateral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agreement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between</w:t>
      </w:r>
      <w:proofErr w:type="spellEnd"/>
      <w:r w:rsidRPr="00540908">
        <w:rPr>
          <w:rFonts w:cs="Times New Roman"/>
        </w:rPr>
        <w:t xml:space="preserve"> </w:t>
      </w:r>
      <w:r w:rsidRPr="00540908">
        <w:rPr>
          <w:rFonts w:cs="Calibri"/>
        </w:rPr>
        <w:t xml:space="preserve">TÜBİTAK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MSRT, </w:t>
      </w:r>
      <w:proofErr w:type="spellStart"/>
      <w:r w:rsidRPr="00540908">
        <w:rPr>
          <w:rFonts w:cs="Calibri"/>
        </w:rPr>
        <w:t>each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party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will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cover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costs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their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national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team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While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submitting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Project </w:t>
      </w:r>
      <w:proofErr w:type="spellStart"/>
      <w:r w:rsidRPr="00540908">
        <w:rPr>
          <w:rFonts w:cs="Calibri"/>
        </w:rPr>
        <w:t>proposal</w:t>
      </w:r>
      <w:proofErr w:type="spellEnd"/>
      <w:r w:rsidRPr="00540908">
        <w:rPr>
          <w:rFonts w:cs="Calibri"/>
        </w:rPr>
        <w:t xml:space="preserve"> form,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costs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which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are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requested</w:t>
      </w:r>
      <w:proofErr w:type="spellEnd"/>
      <w:r w:rsidRPr="00540908">
        <w:rPr>
          <w:rFonts w:cs="Calibri"/>
        </w:rPr>
        <w:t xml:space="preserve"> in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scope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must</w:t>
      </w:r>
      <w:proofErr w:type="spellEnd"/>
      <w:r w:rsidRPr="00540908">
        <w:rPr>
          <w:rFonts w:cs="Calibri"/>
        </w:rPr>
        <w:t xml:space="preserve"> be </w:t>
      </w:r>
      <w:proofErr w:type="spellStart"/>
      <w:r w:rsidRPr="00540908">
        <w:rPr>
          <w:rFonts w:cs="Calibri"/>
        </w:rPr>
        <w:t>stated</w:t>
      </w:r>
      <w:proofErr w:type="spellEnd"/>
      <w:r w:rsidRPr="00540908">
        <w:rPr>
          <w:rFonts w:cs="Calibri"/>
        </w:rPr>
        <w:t xml:space="preserve"> in </w:t>
      </w:r>
      <w:proofErr w:type="spellStart"/>
      <w:r w:rsidRPr="00540908">
        <w:rPr>
          <w:rFonts w:cs="Calibri"/>
        </w:rPr>
        <w:t>detail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justified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In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case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any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exchange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researcher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be </w:t>
      </w:r>
      <w:proofErr w:type="spellStart"/>
      <w:r w:rsidRPr="00540908">
        <w:rPr>
          <w:rFonts w:cs="Calibri"/>
        </w:rPr>
        <w:t>made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within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scope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,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sending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party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meets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all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travel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expenses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provisions</w:t>
      </w:r>
      <w:proofErr w:type="spellEnd"/>
      <w:r w:rsidRPr="00540908">
        <w:rPr>
          <w:rFonts w:cs="Calibri"/>
        </w:rPr>
        <w:t xml:space="preserve"> of </w:t>
      </w:r>
      <w:proofErr w:type="spellStart"/>
      <w:r w:rsidRPr="00540908">
        <w:rPr>
          <w:rFonts w:cs="Calibri"/>
        </w:rPr>
        <w:t>per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diem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Law</w:t>
      </w:r>
      <w:proofErr w:type="spellEnd"/>
      <w:r w:rsidRPr="00540908">
        <w:rPr>
          <w:rFonts w:cs="Calibri"/>
        </w:rPr>
        <w:t xml:space="preserve"> No. 6245 </w:t>
      </w:r>
      <w:proofErr w:type="spellStart"/>
      <w:r w:rsidRPr="00540908">
        <w:rPr>
          <w:rFonts w:cs="Calibri"/>
        </w:rPr>
        <w:t>will</w:t>
      </w:r>
      <w:proofErr w:type="spellEnd"/>
      <w:r w:rsidRPr="00540908">
        <w:rPr>
          <w:rFonts w:cs="Calibri"/>
        </w:rPr>
        <w:t xml:space="preserve"> be </w:t>
      </w:r>
      <w:proofErr w:type="spellStart"/>
      <w:r w:rsidRPr="00540908">
        <w:rPr>
          <w:rFonts w:cs="Calibri"/>
        </w:rPr>
        <w:t>applied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for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Turkish </w:t>
      </w:r>
      <w:proofErr w:type="spellStart"/>
      <w:r w:rsidRPr="00540908">
        <w:rPr>
          <w:rFonts w:cs="Calibri"/>
        </w:rPr>
        <w:t>team</w:t>
      </w:r>
      <w:proofErr w:type="spellEnd"/>
      <w:r w:rsidRPr="00540908">
        <w:rPr>
          <w:rFonts w:cs="Calibri"/>
        </w:rPr>
        <w:t xml:space="preserve">. TÜBİTAK </w:t>
      </w:r>
      <w:proofErr w:type="spellStart"/>
      <w:r w:rsidRPr="00540908">
        <w:rPr>
          <w:rFonts w:cs="Calibri"/>
        </w:rPr>
        <w:t>will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fund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Turkish </w:t>
      </w:r>
      <w:proofErr w:type="spellStart"/>
      <w:r w:rsidRPr="00540908">
        <w:rPr>
          <w:rFonts w:cs="Calibri"/>
        </w:rPr>
        <w:t>side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under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financial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principles</w:t>
      </w:r>
      <w:proofErr w:type="spellEnd"/>
      <w:r w:rsidRPr="00540908">
        <w:rPr>
          <w:rFonts w:cs="Calibri"/>
        </w:rPr>
        <w:t xml:space="preserve"> of TÜBİTAK 1071 Program (</w:t>
      </w:r>
      <w:proofErr w:type="spellStart"/>
      <w:r w:rsidRPr="00540908">
        <w:rPr>
          <w:rFonts w:cs="Calibri"/>
        </w:rPr>
        <w:t>please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check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application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rules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for</w:t>
      </w:r>
      <w:proofErr w:type="spellEnd"/>
      <w:r w:rsidRPr="00540908">
        <w:rPr>
          <w:rFonts w:cs="Calibri"/>
        </w:rPr>
        <w:t xml:space="preserve"> Turkish </w:t>
      </w:r>
      <w:proofErr w:type="spellStart"/>
      <w:r w:rsidRPr="00540908">
        <w:rPr>
          <w:rFonts w:cs="Calibri"/>
        </w:rPr>
        <w:t>side</w:t>
      </w:r>
      <w:proofErr w:type="spellEnd"/>
      <w:r w:rsidRPr="00540908">
        <w:rPr>
          <w:rFonts w:cs="Calibri"/>
        </w:rPr>
        <w:t xml:space="preserve">, </w:t>
      </w:r>
      <w:hyperlink r:id="rId7" w:history="1">
        <w:r w:rsidRPr="00540908">
          <w:rPr>
            <w:rStyle w:val="Kpr"/>
            <w:rFonts w:cs="Calibri"/>
            <w:color w:val="auto"/>
          </w:rPr>
          <w:t>https://www.tubitak.gov.tr/sites/default/files/3125/1071_arastirma_projeleri_surec_dokumani.pdf</w:t>
        </w:r>
      </w:hyperlink>
      <w:r w:rsidRPr="00540908">
        <w:rPr>
          <w:rFonts w:cs="Calibri"/>
        </w:rPr>
        <w:t>).</w:t>
      </w:r>
    </w:p>
    <w:p w:rsidR="001F7E02" w:rsidRPr="00540908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F7E02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cs="Calibri"/>
          <w:color w:val="auto"/>
        </w:rPr>
      </w:pP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Turkish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Iranian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partners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shall</w:t>
      </w:r>
      <w:proofErr w:type="spellEnd"/>
      <w:r w:rsidRPr="00540908">
        <w:rPr>
          <w:rFonts w:cs="Calibri"/>
        </w:rPr>
        <w:t xml:space="preserve"> form a </w:t>
      </w:r>
      <w:proofErr w:type="spellStart"/>
      <w:r w:rsidRPr="00540908">
        <w:rPr>
          <w:rFonts w:cs="Calibri"/>
        </w:rPr>
        <w:t>project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consortium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prepare</w:t>
      </w:r>
      <w:proofErr w:type="spellEnd"/>
      <w:r w:rsidRPr="00540908">
        <w:rPr>
          <w:rFonts w:cs="Calibri"/>
        </w:rPr>
        <w:t xml:space="preserve"> a </w:t>
      </w:r>
      <w:proofErr w:type="spellStart"/>
      <w:r w:rsidRPr="00540908">
        <w:rPr>
          <w:rFonts w:cs="Calibri"/>
        </w:rPr>
        <w:t>joint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scientific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Teams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from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each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country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must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designate</w:t>
      </w:r>
      <w:proofErr w:type="spellEnd"/>
      <w:r w:rsidRPr="00540908">
        <w:rPr>
          <w:rFonts w:cs="Calibri"/>
        </w:rPr>
        <w:t xml:space="preserve"> a </w:t>
      </w:r>
      <w:proofErr w:type="spellStart"/>
      <w:r w:rsidRPr="00540908">
        <w:rPr>
          <w:rFonts w:cs="Calibri"/>
        </w:rPr>
        <w:t>national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scientific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coordinator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Projects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should</w:t>
      </w:r>
      <w:proofErr w:type="spellEnd"/>
      <w:r w:rsidRPr="00540908">
        <w:rPr>
          <w:rFonts w:cs="Calibri"/>
        </w:rPr>
        <w:t xml:space="preserve"> be </w:t>
      </w:r>
      <w:proofErr w:type="spellStart"/>
      <w:r w:rsidRPr="00540908">
        <w:rPr>
          <w:rFonts w:cs="Calibri"/>
        </w:rPr>
        <w:t>submitted</w:t>
      </w:r>
      <w:proofErr w:type="spellEnd"/>
      <w:r w:rsidRPr="00540908">
        <w:rPr>
          <w:rFonts w:cs="Calibri"/>
        </w:rPr>
        <w:t xml:space="preserve"> in </w:t>
      </w:r>
      <w:proofErr w:type="spellStart"/>
      <w:r w:rsidRPr="00540908">
        <w:rPr>
          <w:rFonts w:cs="Calibri"/>
        </w:rPr>
        <w:t>parallel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respective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funding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agencies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each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national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scientific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coordinator</w:t>
      </w:r>
      <w:proofErr w:type="spellEnd"/>
      <w:r w:rsidRPr="00540908">
        <w:rPr>
          <w:rFonts w:cs="Calibri"/>
        </w:rPr>
        <w:t xml:space="preserve">. </w:t>
      </w:r>
      <w:proofErr w:type="spellStart"/>
      <w:r w:rsidRPr="00540908">
        <w:rPr>
          <w:rFonts w:cs="Calibri"/>
        </w:rPr>
        <w:t>There</w:t>
      </w:r>
      <w:proofErr w:type="spellEnd"/>
      <w:r w:rsidRPr="00540908">
        <w:rPr>
          <w:rFonts w:cs="Calibri"/>
        </w:rPr>
        <w:t xml:space="preserve"> is </w:t>
      </w:r>
      <w:proofErr w:type="spellStart"/>
      <w:r w:rsidRPr="00540908">
        <w:rPr>
          <w:rFonts w:cs="Calibri"/>
        </w:rPr>
        <w:t>no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late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submission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deadline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for</w:t>
      </w:r>
      <w:proofErr w:type="spellEnd"/>
      <w:r w:rsidRPr="00540908">
        <w:rPr>
          <w:rFonts w:cs="Calibri"/>
        </w:rPr>
        <w:t xml:space="preserve"> Turkish </w:t>
      </w:r>
      <w:proofErr w:type="spellStart"/>
      <w:r w:rsidRPr="00540908">
        <w:rPr>
          <w:rFonts w:cs="Calibri"/>
        </w:rPr>
        <w:t>team</w:t>
      </w:r>
      <w:proofErr w:type="spellEnd"/>
      <w:r w:rsidRPr="00540908">
        <w:rPr>
          <w:rFonts w:cs="Calibri"/>
        </w:rPr>
        <w:t xml:space="preserve">. Project </w:t>
      </w:r>
      <w:proofErr w:type="spellStart"/>
      <w:r w:rsidRPr="00540908">
        <w:rPr>
          <w:rFonts w:cs="Calibri"/>
        </w:rPr>
        <w:t>coordinators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must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complete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all</w:t>
      </w:r>
      <w:proofErr w:type="spellEnd"/>
      <w:r w:rsidRPr="00540908">
        <w:rPr>
          <w:rFonts w:cs="Calibri"/>
        </w:rPr>
        <w:t xml:space="preserve"> e-</w:t>
      </w:r>
      <w:proofErr w:type="spellStart"/>
      <w:r w:rsidRPr="00540908">
        <w:rPr>
          <w:rFonts w:cs="Calibri"/>
        </w:rPr>
        <w:t>signatures</w:t>
      </w:r>
      <w:proofErr w:type="spellEnd"/>
      <w:r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requested</w:t>
      </w:r>
      <w:proofErr w:type="spellEnd"/>
      <w:r w:rsidRPr="00540908">
        <w:rPr>
          <w:rFonts w:cs="Calibri"/>
        </w:rPr>
        <w:t xml:space="preserve"> in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application</w:t>
      </w:r>
      <w:proofErr w:type="spellEnd"/>
      <w:r w:rsidRPr="00540908">
        <w:rPr>
          <w:rFonts w:cs="Calibri"/>
        </w:rPr>
        <w:t xml:space="preserve"> form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other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forms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generated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by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</w:t>
      </w:r>
      <w:proofErr w:type="gramStart"/>
      <w:r w:rsidRPr="00540908">
        <w:rPr>
          <w:rFonts w:cs="Calibri"/>
        </w:rPr>
        <w:t>online</w:t>
      </w:r>
      <w:proofErr w:type="gram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application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system</w:t>
      </w:r>
      <w:proofErr w:type="spellEnd"/>
      <w:r>
        <w:rPr>
          <w:rFonts w:cs="Calibri"/>
        </w:rPr>
        <w:t xml:space="preserve"> </w:t>
      </w:r>
      <w:r w:rsidRPr="00540908">
        <w:rPr>
          <w:rFonts w:cs="Calibri"/>
        </w:rPr>
        <w:t xml:space="preserve">(http://uidb-pbs.tubitak.gov.tr) </w:t>
      </w:r>
      <w:proofErr w:type="spellStart"/>
      <w:r w:rsidRPr="00540908">
        <w:rPr>
          <w:rFonts w:cs="Calibri,Bold"/>
          <w:b/>
          <w:bCs/>
          <w:lang w:bidi="he-IL"/>
        </w:rPr>
        <w:t>for</w:t>
      </w:r>
      <w:proofErr w:type="spellEnd"/>
      <w:r w:rsidRPr="00540908">
        <w:rPr>
          <w:rFonts w:cs="Calibri,Bold"/>
          <w:b/>
          <w:bCs/>
          <w:lang w:bidi="he-IL"/>
        </w:rPr>
        <w:t xml:space="preserve"> TÜBİTAK </w:t>
      </w:r>
      <w:proofErr w:type="spellStart"/>
      <w:r w:rsidRPr="00540908">
        <w:rPr>
          <w:rFonts w:cs="Calibri,Bold"/>
          <w:b/>
          <w:bCs/>
        </w:rPr>
        <w:t>until</w:t>
      </w:r>
      <w:proofErr w:type="spellEnd"/>
      <w:r w:rsidRPr="00540908">
        <w:rPr>
          <w:rFonts w:cs="Calibri,Bold"/>
          <w:b/>
          <w:bCs/>
        </w:rPr>
        <w:t xml:space="preserve"> 23/10/2019, (</w:t>
      </w:r>
      <w:r w:rsidRPr="00540908">
        <w:rPr>
          <w:rFonts w:cs="Calibri"/>
        </w:rPr>
        <w:t xml:space="preserve">www.Inttabrizuni.ir) </w:t>
      </w:r>
      <w:proofErr w:type="spellStart"/>
      <w:r w:rsidRPr="00540908">
        <w:rPr>
          <w:rFonts w:cs="Calibri,Bold"/>
          <w:b/>
          <w:bCs/>
        </w:rPr>
        <w:t>For</w:t>
      </w:r>
      <w:proofErr w:type="spellEnd"/>
      <w:r w:rsidRPr="00540908">
        <w:rPr>
          <w:rFonts w:cs="Calibri,Bold"/>
          <w:b/>
          <w:bCs/>
        </w:rPr>
        <w:t xml:space="preserve"> MSRT</w:t>
      </w:r>
      <w:r w:rsidRPr="00540908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project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coordinators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must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send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completed</w:t>
      </w:r>
      <w:proofErr w:type="spellEnd"/>
      <w:r w:rsidRPr="00540908">
        <w:rPr>
          <w:rFonts w:cs="Calibri"/>
        </w:rPr>
        <w:t xml:space="preserve"> e-</w:t>
      </w:r>
      <w:proofErr w:type="spellStart"/>
      <w:r w:rsidRPr="00540908">
        <w:rPr>
          <w:rFonts w:cs="Calibri"/>
        </w:rPr>
        <w:t>signatures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until</w:t>
      </w:r>
      <w:proofErr w:type="spellEnd"/>
      <w:r w:rsidRPr="00540908">
        <w:rPr>
          <w:rFonts w:cs="Calibri"/>
        </w:rPr>
        <w:t xml:space="preserve"> </w:t>
      </w:r>
      <w:r w:rsidRPr="00540908">
        <w:rPr>
          <w:rFonts w:cs="Calibri,Bold"/>
          <w:b/>
          <w:bCs/>
        </w:rPr>
        <w:t xml:space="preserve">23/10/2019 </w:t>
      </w:r>
      <w:proofErr w:type="spellStart"/>
      <w:r w:rsidRPr="00540908">
        <w:rPr>
          <w:rFonts w:cs="Calibri"/>
        </w:rPr>
        <w:t>via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the</w:t>
      </w:r>
      <w:proofErr w:type="spellEnd"/>
      <w:r w:rsidRPr="00540908">
        <w:rPr>
          <w:rFonts w:cs="Calibri"/>
        </w:rPr>
        <w:t xml:space="preserve"> online </w:t>
      </w:r>
      <w:proofErr w:type="spellStart"/>
      <w:r w:rsidRPr="00540908">
        <w:rPr>
          <w:rFonts w:cs="Calibri"/>
        </w:rPr>
        <w:t>system</w:t>
      </w:r>
      <w:proofErr w:type="spellEnd"/>
      <w:r w:rsidRPr="00540908">
        <w:rPr>
          <w:rFonts w:cs="Calibri"/>
        </w:rPr>
        <w:t xml:space="preserve"> as</w:t>
      </w:r>
      <w:r>
        <w:rPr>
          <w:rFonts w:cs="Calibri"/>
        </w:rPr>
        <w:t xml:space="preserve"> </w:t>
      </w:r>
      <w:r w:rsidRPr="00540908">
        <w:rPr>
          <w:rFonts w:cs="Calibri"/>
        </w:rPr>
        <w:t xml:space="preserve">http://inttabrizuni.ir </w:t>
      </w:r>
      <w:proofErr w:type="spellStart"/>
      <w:r w:rsidRPr="00540908">
        <w:rPr>
          <w:rFonts w:cs="Calibri"/>
        </w:rPr>
        <w:t>and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also</w:t>
      </w:r>
      <w:proofErr w:type="spellEnd"/>
      <w:r w:rsidRPr="00540908">
        <w:rPr>
          <w:rFonts w:cs="Calibri"/>
        </w:rPr>
        <w:t xml:space="preserve"> </w:t>
      </w:r>
      <w:proofErr w:type="spellStart"/>
      <w:r w:rsidRPr="00540908">
        <w:rPr>
          <w:rFonts w:cs="Calibri"/>
        </w:rPr>
        <w:t>to</w:t>
      </w:r>
      <w:proofErr w:type="spellEnd"/>
      <w:r w:rsidRPr="00540908">
        <w:rPr>
          <w:rFonts w:cs="Calibri"/>
        </w:rPr>
        <w:t xml:space="preserve"> </w:t>
      </w:r>
      <w:hyperlink r:id="rId8" w:history="1">
        <w:r w:rsidRPr="00540908">
          <w:rPr>
            <w:rStyle w:val="Kpr"/>
            <w:rFonts w:cs="Calibri"/>
            <w:color w:val="auto"/>
          </w:rPr>
          <w:t>irtu@tabrizu.ac.ir</w:t>
        </w:r>
      </w:hyperlink>
      <w:r>
        <w:rPr>
          <w:rStyle w:val="Kpr"/>
          <w:rFonts w:cs="Calibri"/>
          <w:color w:val="auto"/>
        </w:rPr>
        <w:t>.</w:t>
      </w:r>
    </w:p>
    <w:p w:rsidR="001F7E02" w:rsidRPr="00540908" w:rsidRDefault="001F7E02" w:rsidP="001F7E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F7E02" w:rsidRDefault="001F7E02" w:rsidP="001F7E02">
      <w:pPr>
        <w:jc w:val="both"/>
      </w:pPr>
      <w:proofErr w:type="spellStart"/>
      <w:r w:rsidRPr="00540908">
        <w:t>The</w:t>
      </w:r>
      <w:proofErr w:type="spellEnd"/>
      <w:r w:rsidRPr="00540908">
        <w:t xml:space="preserve"> </w:t>
      </w:r>
      <w:proofErr w:type="spellStart"/>
      <w:r w:rsidRPr="00540908">
        <w:t>proposals</w:t>
      </w:r>
      <w:proofErr w:type="spellEnd"/>
      <w:r w:rsidRPr="00540908">
        <w:t xml:space="preserve"> </w:t>
      </w:r>
      <w:proofErr w:type="spellStart"/>
      <w:r w:rsidRPr="00540908">
        <w:t>will</w:t>
      </w:r>
      <w:proofErr w:type="spellEnd"/>
      <w:r w:rsidRPr="00540908">
        <w:t xml:space="preserve"> be </w:t>
      </w:r>
      <w:proofErr w:type="spellStart"/>
      <w:r w:rsidRPr="00540908">
        <w:t>evaluated</w:t>
      </w:r>
      <w:proofErr w:type="spellEnd"/>
      <w:r w:rsidRPr="00540908">
        <w:t xml:space="preserve"> </w:t>
      </w:r>
      <w:proofErr w:type="spellStart"/>
      <w:r w:rsidRPr="00540908">
        <w:t>according</w:t>
      </w:r>
      <w:proofErr w:type="spellEnd"/>
      <w:r w:rsidRPr="00540908">
        <w:t xml:space="preserve"> </w:t>
      </w:r>
      <w:proofErr w:type="spellStart"/>
      <w:r w:rsidRPr="00540908">
        <w:t>to</w:t>
      </w:r>
      <w:proofErr w:type="spellEnd"/>
      <w:r w:rsidRPr="00540908">
        <w:t xml:space="preserve"> </w:t>
      </w:r>
      <w:proofErr w:type="spellStart"/>
      <w:r w:rsidRPr="00540908">
        <w:t>the</w:t>
      </w:r>
      <w:proofErr w:type="spellEnd"/>
      <w:r w:rsidRPr="00540908">
        <w:t xml:space="preserve"> </w:t>
      </w:r>
      <w:proofErr w:type="spellStart"/>
      <w:r w:rsidRPr="00540908">
        <w:t>national</w:t>
      </w:r>
      <w:proofErr w:type="spellEnd"/>
      <w:r w:rsidRPr="00540908">
        <w:t xml:space="preserve"> </w:t>
      </w:r>
      <w:proofErr w:type="spellStart"/>
      <w:r w:rsidRPr="00540908">
        <w:t>regulations</w:t>
      </w:r>
      <w:proofErr w:type="spellEnd"/>
      <w:r w:rsidRPr="00540908">
        <w:t xml:space="preserve"> of </w:t>
      </w:r>
      <w:proofErr w:type="spellStart"/>
      <w:r w:rsidRPr="00540908">
        <w:t>the</w:t>
      </w:r>
      <w:proofErr w:type="spellEnd"/>
      <w:r w:rsidRPr="00540908">
        <w:t xml:space="preserve"> </w:t>
      </w:r>
      <w:proofErr w:type="spellStart"/>
      <w:r w:rsidRPr="00540908">
        <w:t>funding</w:t>
      </w:r>
      <w:proofErr w:type="spellEnd"/>
      <w:r w:rsidRPr="00540908">
        <w:t xml:space="preserve"> </w:t>
      </w:r>
      <w:proofErr w:type="spellStart"/>
      <w:r w:rsidRPr="00540908">
        <w:t>institutions</w:t>
      </w:r>
      <w:proofErr w:type="spellEnd"/>
      <w:r w:rsidRPr="00540908">
        <w:t xml:space="preserve">, but </w:t>
      </w:r>
      <w:proofErr w:type="spellStart"/>
      <w:r w:rsidRPr="00540908">
        <w:t>based</w:t>
      </w:r>
      <w:proofErr w:type="spellEnd"/>
      <w:r w:rsidRPr="00540908">
        <w:t xml:space="preserve"> on </w:t>
      </w:r>
      <w:proofErr w:type="spellStart"/>
      <w:r w:rsidRPr="00540908">
        <w:t>jointly</w:t>
      </w:r>
      <w:proofErr w:type="spellEnd"/>
      <w:r w:rsidRPr="00540908">
        <w:t xml:space="preserve"> </w:t>
      </w:r>
      <w:proofErr w:type="spellStart"/>
      <w:r w:rsidRPr="00540908">
        <w:t>agreed</w:t>
      </w:r>
      <w:proofErr w:type="spellEnd"/>
      <w:r w:rsidRPr="00540908">
        <w:t xml:space="preserve"> </w:t>
      </w:r>
      <w:proofErr w:type="spellStart"/>
      <w:r w:rsidRPr="00540908">
        <w:t>rules</w:t>
      </w:r>
      <w:proofErr w:type="spellEnd"/>
      <w:r w:rsidRPr="00540908">
        <w:t xml:space="preserve"> </w:t>
      </w:r>
      <w:proofErr w:type="spellStart"/>
      <w:r w:rsidRPr="00540908">
        <w:t>and</w:t>
      </w:r>
      <w:proofErr w:type="spellEnd"/>
      <w:r w:rsidRPr="00540908">
        <w:t xml:space="preserve"> </w:t>
      </w:r>
      <w:proofErr w:type="spellStart"/>
      <w:r w:rsidRPr="00540908">
        <w:t>criteria</w:t>
      </w:r>
      <w:proofErr w:type="spellEnd"/>
      <w:r w:rsidRPr="00540908">
        <w:t xml:space="preserve"> of </w:t>
      </w:r>
      <w:proofErr w:type="spellStart"/>
      <w:r w:rsidRPr="00540908">
        <w:t>evaluation</w:t>
      </w:r>
      <w:proofErr w:type="spellEnd"/>
      <w:r w:rsidRPr="00540908">
        <w:t xml:space="preserve"> </w:t>
      </w:r>
      <w:proofErr w:type="spellStart"/>
      <w:r w:rsidRPr="00540908">
        <w:t>below</w:t>
      </w:r>
      <w:proofErr w:type="spellEnd"/>
      <w:r w:rsidRPr="00540908">
        <w:t>;</w:t>
      </w:r>
    </w:p>
    <w:p w:rsidR="001F7E02" w:rsidRPr="00540908" w:rsidRDefault="001F7E02" w:rsidP="001F7E02">
      <w:pPr>
        <w:spacing w:after="0"/>
        <w:jc w:val="both"/>
      </w:pPr>
      <w:r w:rsidRPr="00540908">
        <w:t>•</w:t>
      </w:r>
      <w:r w:rsidRPr="00540908">
        <w:tab/>
      </w:r>
      <w:proofErr w:type="spellStart"/>
      <w:r w:rsidRPr="00540908">
        <w:t>Importance</w:t>
      </w:r>
      <w:proofErr w:type="spellEnd"/>
      <w:r w:rsidRPr="00540908">
        <w:t xml:space="preserve"> of International Collaboration</w:t>
      </w:r>
    </w:p>
    <w:p w:rsidR="001F7E02" w:rsidRPr="00540908" w:rsidRDefault="001F7E02" w:rsidP="001F7E02">
      <w:pPr>
        <w:spacing w:after="0"/>
        <w:jc w:val="both"/>
      </w:pPr>
      <w:r w:rsidRPr="00540908">
        <w:t>•</w:t>
      </w:r>
      <w:r w:rsidRPr="00540908">
        <w:tab/>
      </w:r>
      <w:proofErr w:type="spellStart"/>
      <w:r w:rsidRPr="00540908">
        <w:t>Scientific</w:t>
      </w:r>
      <w:proofErr w:type="spellEnd"/>
      <w:r w:rsidRPr="00540908">
        <w:t xml:space="preserve"> </w:t>
      </w:r>
      <w:proofErr w:type="spellStart"/>
      <w:r w:rsidRPr="00540908">
        <w:t>Excellence</w:t>
      </w:r>
      <w:proofErr w:type="spellEnd"/>
    </w:p>
    <w:p w:rsidR="001F7E02" w:rsidRPr="00540908" w:rsidRDefault="001F7E02" w:rsidP="001F7E02">
      <w:pPr>
        <w:spacing w:after="0"/>
        <w:jc w:val="both"/>
      </w:pPr>
      <w:r w:rsidRPr="00540908">
        <w:t>•</w:t>
      </w:r>
      <w:r w:rsidRPr="00540908">
        <w:tab/>
      </w:r>
      <w:proofErr w:type="spellStart"/>
      <w:r w:rsidRPr="00540908">
        <w:t>Methodology</w:t>
      </w:r>
      <w:proofErr w:type="spellEnd"/>
    </w:p>
    <w:p w:rsidR="001F7E02" w:rsidRPr="00540908" w:rsidRDefault="001F7E02" w:rsidP="001F7E02">
      <w:pPr>
        <w:spacing w:after="0"/>
        <w:jc w:val="both"/>
      </w:pPr>
      <w:r w:rsidRPr="00540908">
        <w:t>•</w:t>
      </w:r>
      <w:r w:rsidRPr="00540908">
        <w:tab/>
        <w:t>Project Management</w:t>
      </w:r>
    </w:p>
    <w:p w:rsidR="001F7E02" w:rsidRDefault="001F7E02" w:rsidP="001F7E02">
      <w:pPr>
        <w:spacing w:after="0"/>
        <w:jc w:val="both"/>
      </w:pPr>
      <w:r w:rsidRPr="00540908">
        <w:t>•</w:t>
      </w:r>
      <w:r w:rsidRPr="00540908">
        <w:tab/>
      </w:r>
      <w:proofErr w:type="spellStart"/>
      <w:r w:rsidRPr="00540908">
        <w:t>Impact</w:t>
      </w:r>
      <w:proofErr w:type="spellEnd"/>
    </w:p>
    <w:p w:rsidR="001F7E02" w:rsidRPr="00540908" w:rsidRDefault="001F7E02" w:rsidP="001F7E02">
      <w:pPr>
        <w:spacing w:after="0"/>
        <w:jc w:val="both"/>
      </w:pPr>
    </w:p>
    <w:p w:rsidR="001F7E02" w:rsidRPr="00540908" w:rsidRDefault="001F7E02" w:rsidP="001F7E02">
      <w:pPr>
        <w:jc w:val="both"/>
      </w:pPr>
      <w:proofErr w:type="spellStart"/>
      <w:r w:rsidRPr="00540908">
        <w:t>Only</w:t>
      </w:r>
      <w:proofErr w:type="spellEnd"/>
      <w:r w:rsidRPr="00540908">
        <w:t xml:space="preserve"> </w:t>
      </w:r>
      <w:proofErr w:type="spellStart"/>
      <w:r w:rsidRPr="00540908">
        <w:t>projects</w:t>
      </w:r>
      <w:proofErr w:type="spellEnd"/>
      <w:r w:rsidRPr="00540908">
        <w:t xml:space="preserve"> </w:t>
      </w:r>
      <w:proofErr w:type="spellStart"/>
      <w:r w:rsidRPr="00540908">
        <w:t>that</w:t>
      </w:r>
      <w:proofErr w:type="spellEnd"/>
      <w:r w:rsidRPr="00540908">
        <w:t xml:space="preserve"> fit </w:t>
      </w:r>
      <w:proofErr w:type="spellStart"/>
      <w:r w:rsidRPr="00540908">
        <w:t>to</w:t>
      </w:r>
      <w:proofErr w:type="spellEnd"/>
      <w:r w:rsidRPr="00540908">
        <w:t xml:space="preserve"> </w:t>
      </w:r>
      <w:proofErr w:type="spellStart"/>
      <w:r w:rsidRPr="00540908">
        <w:t>the</w:t>
      </w:r>
      <w:proofErr w:type="spellEnd"/>
      <w:r w:rsidRPr="00540908">
        <w:t xml:space="preserve"> </w:t>
      </w:r>
      <w:proofErr w:type="spellStart"/>
      <w:r w:rsidRPr="00540908">
        <w:t>call</w:t>
      </w:r>
      <w:proofErr w:type="spellEnd"/>
      <w:r w:rsidRPr="00540908">
        <w:t xml:space="preserve"> </w:t>
      </w:r>
      <w:proofErr w:type="spellStart"/>
      <w:r w:rsidRPr="00540908">
        <w:t>topics</w:t>
      </w:r>
      <w:proofErr w:type="spellEnd"/>
      <w:r w:rsidRPr="00540908">
        <w:t xml:space="preserve"> can be </w:t>
      </w:r>
      <w:proofErr w:type="spellStart"/>
      <w:r w:rsidRPr="00540908">
        <w:t>funded</w:t>
      </w:r>
      <w:proofErr w:type="spellEnd"/>
      <w:r w:rsidRPr="00540908">
        <w:t>.</w:t>
      </w:r>
    </w:p>
    <w:p w:rsidR="00B80F3E" w:rsidRPr="00904E62" w:rsidRDefault="00B80F3E" w:rsidP="00B80F3E">
      <w:pPr>
        <w:spacing w:before="100" w:beforeAutospacing="1" w:after="159"/>
        <w:rPr>
          <w:rFonts w:eastAsia="Times New Roman" w:cstheme="minorHAnsi"/>
          <w:lang w:eastAsia="tr-TR"/>
        </w:rPr>
      </w:pPr>
      <w:r w:rsidRPr="00904E62">
        <w:rPr>
          <w:rFonts w:eastAsia="Times New Roman" w:cstheme="minorHAnsi"/>
          <w:b/>
          <w:bCs/>
          <w:lang w:val="en-US" w:eastAsia="tr-TR"/>
        </w:rPr>
        <w:lastRenderedPageBreak/>
        <w:t>Call Snapshot</w:t>
      </w:r>
    </w:p>
    <w:tbl>
      <w:tblPr>
        <w:tblW w:w="9060" w:type="dxa"/>
        <w:tblCellSpacing w:w="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997"/>
        <w:gridCol w:w="3665"/>
        <w:gridCol w:w="3398"/>
      </w:tblGrid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SCOPE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Engineering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>,</w:t>
            </w:r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Information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Communication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 Technologies, </w:t>
            </w:r>
          </w:p>
          <w:p w:rsidR="00B80F3E" w:rsidRPr="00904E62" w:rsidRDefault="00B80F3E" w:rsidP="007F12F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Materials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Science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>,</w:t>
            </w:r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Cognitive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Science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bidi="fa-IR"/>
              </w:rPr>
              <w:t xml:space="preserve">,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bidi="fa-IR"/>
              </w:rPr>
              <w:t>Energy</w:t>
            </w:r>
            <w:proofErr w:type="spellEnd"/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Competition opens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eastAsia="tr-TR"/>
              </w:rPr>
              <w:t>17/10/2019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Final date for online proposal submission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For TUBITAK: 18/10/2019   17:00 (IST time)</w:t>
            </w: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For MSRT: 18/10/2019         00:00 (Tabriz time)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Submission deadline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For TUBITAK: 23/10/2019</w:t>
            </w:r>
          </w:p>
          <w:p w:rsidR="00B80F3E" w:rsidRPr="00904E62" w:rsidRDefault="00B80F3E" w:rsidP="00904E62">
            <w:pPr>
              <w:spacing w:before="100" w:beforeAutospacing="1" w:after="0" w:line="288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For MSRT:  23/10/2019</w:t>
            </w:r>
          </w:p>
        </w:tc>
      </w:tr>
      <w:tr w:rsidR="00B80F3E" w:rsidRPr="00904E62" w:rsidTr="007F12F4">
        <w:trPr>
          <w:trHeight w:val="649"/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Announcement of results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16/03/2020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 xml:space="preserve">Thematic Fields &amp; subfields 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numPr>
                <w:ilvl w:val="0"/>
                <w:numId w:val="1"/>
              </w:numPr>
              <w:spacing w:before="100" w:beforeAutospacing="1" w:after="159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Engineering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: 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Factory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Automation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Systems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Additive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Manufacturing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Machine Design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Manufacturing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Robotics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&amp;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Mechatronics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Bio-Engineering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&amp;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Technology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Chemical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 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Engineering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Aerospace</w:t>
            </w:r>
            <w:proofErr w:type="spellEnd"/>
          </w:p>
          <w:p w:rsidR="00B80F3E" w:rsidRPr="00904E62" w:rsidRDefault="00B80F3E" w:rsidP="007F12F4">
            <w:pPr>
              <w:numPr>
                <w:ilvl w:val="0"/>
                <w:numId w:val="1"/>
              </w:numPr>
              <w:spacing w:before="100" w:beforeAutospacing="1" w:after="159"/>
              <w:rPr>
                <w:rFonts w:eastAsia="Times New Roman" w:cstheme="minorHAnsi"/>
                <w:b/>
                <w:bCs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Information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Communication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 Technologies: 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Artificial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Intelligence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bidi="fa-IR"/>
              </w:rPr>
            </w:pPr>
            <w:r w:rsidRPr="00904E62">
              <w:rPr>
                <w:rFonts w:eastAsia="Times New Roman" w:cstheme="minorHAnsi"/>
                <w:lang w:bidi="fa-IR"/>
              </w:rPr>
              <w:t>Software Technologies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Bio-Informatics</w:t>
            </w:r>
            <w:proofErr w:type="spellEnd"/>
          </w:p>
          <w:p w:rsidR="00B80F3E" w:rsidRPr="00904E62" w:rsidRDefault="00B80F3E" w:rsidP="007F12F4">
            <w:pPr>
              <w:numPr>
                <w:ilvl w:val="0"/>
                <w:numId w:val="1"/>
              </w:numPr>
              <w:spacing w:before="100" w:beforeAutospacing="1" w:after="159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Materials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Science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: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Surface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,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Coating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Films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r w:rsidRPr="00904E62">
              <w:rPr>
                <w:rFonts w:eastAsia="Times New Roman" w:cstheme="minorHAnsi"/>
                <w:lang w:bidi="fa-IR"/>
              </w:rPr>
              <w:t xml:space="preserve">Micro /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Nano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Materials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Bio-materials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r w:rsidRPr="00904E62">
              <w:rPr>
                <w:rFonts w:eastAsia="Times New Roman" w:cstheme="minorHAnsi"/>
                <w:lang w:bidi="fa-IR"/>
              </w:rPr>
              <w:t xml:space="preserve">New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Lightening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>/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Energy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harvesting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 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sources</w:t>
            </w:r>
            <w:proofErr w:type="spellEnd"/>
          </w:p>
          <w:p w:rsidR="00B80F3E" w:rsidRPr="00904E62" w:rsidRDefault="00B80F3E" w:rsidP="007F12F4">
            <w:pPr>
              <w:numPr>
                <w:ilvl w:val="0"/>
                <w:numId w:val="1"/>
              </w:numPr>
              <w:spacing w:before="100" w:beforeAutospacing="1" w:after="159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Energy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Renewable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Energy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Petroleum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and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Natural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Gas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Energy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storage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Environmental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resource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management</w:t>
            </w:r>
            <w:proofErr w:type="spellEnd"/>
          </w:p>
          <w:p w:rsidR="00B80F3E" w:rsidRDefault="00B80F3E" w:rsidP="00B80F3E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Geothermal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resources</w:t>
            </w:r>
            <w:proofErr w:type="spellEnd"/>
          </w:p>
          <w:p w:rsidR="00904E62" w:rsidRPr="00904E62" w:rsidRDefault="00904E62" w:rsidP="00904E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</w:p>
          <w:p w:rsidR="00B80F3E" w:rsidRPr="00904E62" w:rsidRDefault="00B80F3E" w:rsidP="007F12F4">
            <w:pPr>
              <w:numPr>
                <w:ilvl w:val="0"/>
                <w:numId w:val="1"/>
              </w:numPr>
              <w:spacing w:before="100" w:beforeAutospacing="1" w:after="159"/>
              <w:rPr>
                <w:rFonts w:eastAsia="Times New Roman" w:cstheme="minorHAnsi"/>
                <w:lang w:eastAsia="tr-T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lastRenderedPageBreak/>
              <w:t>Cognitive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eastAsia="tr-TR"/>
              </w:rPr>
              <w:t>Science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Neuroscience</w:t>
            </w:r>
            <w:proofErr w:type="spellEnd"/>
          </w:p>
          <w:p w:rsidR="00B80F3E" w:rsidRPr="00904E62" w:rsidRDefault="00B80F3E" w:rsidP="00B80F3E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proofErr w:type="spellStart"/>
            <w:r w:rsidRPr="00904E62">
              <w:rPr>
                <w:rFonts w:eastAsia="Times New Roman" w:cstheme="minorHAnsi"/>
                <w:lang w:bidi="fa-IR"/>
              </w:rPr>
              <w:t>Cognitive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Information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Processing</w:t>
            </w:r>
            <w:proofErr w:type="spellEnd"/>
          </w:p>
          <w:p w:rsidR="00B80F3E" w:rsidRPr="00904E62" w:rsidRDefault="00B80F3E" w:rsidP="007F12F4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bidi="fa-IR"/>
              </w:rPr>
            </w:pPr>
            <w:r w:rsidRPr="00904E62">
              <w:rPr>
                <w:rFonts w:eastAsia="Times New Roman" w:cstheme="minorHAnsi"/>
                <w:lang w:bidi="fa-IR"/>
              </w:rPr>
              <w:t xml:space="preserve">Mathematical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Behavioral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  <w:proofErr w:type="spellStart"/>
            <w:r w:rsidRPr="00904E62">
              <w:rPr>
                <w:rFonts w:eastAsia="Times New Roman" w:cstheme="minorHAnsi"/>
                <w:lang w:bidi="fa-IR"/>
              </w:rPr>
              <w:t>Science</w:t>
            </w:r>
            <w:proofErr w:type="spellEnd"/>
            <w:r w:rsidRPr="00904E62">
              <w:rPr>
                <w:rFonts w:eastAsia="Times New Roman" w:cstheme="minorHAnsi"/>
                <w:lang w:bidi="fa-IR"/>
              </w:rPr>
              <w:t xml:space="preserve"> 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lastRenderedPageBreak/>
              <w:t>Eligible applicant</w:t>
            </w:r>
          </w:p>
        </w:tc>
        <w:tc>
          <w:tcPr>
            <w:tcW w:w="3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For the Turkish Team</w:t>
            </w: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The Principal Investigator (PI), must hold a PhD degree.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For the Iranian Team</w:t>
            </w:r>
          </w:p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The Principal Investigator (PI), must hold a PhD.</w:t>
            </w:r>
          </w:p>
        </w:tc>
      </w:tr>
      <w:tr w:rsidR="00B80F3E" w:rsidRPr="00904E62" w:rsidTr="007F12F4">
        <w:trPr>
          <w:trHeight w:val="1769"/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Award parameters</w:t>
            </w:r>
          </w:p>
        </w:tc>
        <w:tc>
          <w:tcPr>
            <w:tcW w:w="3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D73880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 xml:space="preserve">TUBITAK funds up to 100.000 Turkish Liras </w:t>
            </w:r>
            <w:bookmarkStart w:id="0" w:name="_GoBack"/>
            <w:bookmarkEnd w:id="0"/>
            <w:r w:rsidRPr="00904E62">
              <w:rPr>
                <w:rFonts w:eastAsia="Times New Roman" w:cstheme="minorHAnsi"/>
                <w:lang w:val="en-US" w:eastAsia="tr-TR"/>
              </w:rPr>
              <w:t>per project.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 xml:space="preserve">Iranian researchers will be funded up to 400.000.000 İranian </w:t>
            </w:r>
            <w:proofErr w:type="spellStart"/>
            <w:r w:rsidRPr="00904E62">
              <w:rPr>
                <w:rFonts w:eastAsia="Times New Roman" w:cstheme="minorHAnsi"/>
                <w:lang w:val="en-US" w:eastAsia="tr-TR"/>
              </w:rPr>
              <w:t>Rial</w:t>
            </w:r>
            <w:proofErr w:type="spellEnd"/>
            <w:r w:rsidRPr="00904E62">
              <w:rPr>
                <w:rFonts w:eastAsia="Times New Roman" w:cstheme="minorHAnsi"/>
                <w:lang w:val="en-US" w:eastAsia="tr-TR"/>
              </w:rPr>
              <w:t xml:space="preserve"> under MSRT International Cooperation Program and partially by University of Tabriz.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How to apply</w:t>
            </w:r>
          </w:p>
        </w:tc>
        <w:tc>
          <w:tcPr>
            <w:tcW w:w="3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For the Turkish Team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Proposal submission is made through the TÜBİTAK’s system (http://uidb-pbs.tubitak.gov.tr).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For the Iranian Team</w:t>
            </w:r>
          </w:p>
          <w:p w:rsidR="00B80F3E" w:rsidRPr="00904E62" w:rsidRDefault="00B80F3E" w:rsidP="005828C8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 xml:space="preserve">Proposal submission is made through the </w:t>
            </w:r>
            <w:r w:rsidR="005828C8">
              <w:rPr>
                <w:rFonts w:eastAsia="Times New Roman" w:cstheme="minorHAnsi"/>
                <w:lang w:val="en-US" w:eastAsia="tr-TR"/>
              </w:rPr>
              <w:t>Tabriz University</w:t>
            </w:r>
            <w:r w:rsidRPr="00904E62">
              <w:rPr>
                <w:rFonts w:eastAsia="Times New Roman" w:cstheme="minorHAnsi"/>
                <w:lang w:val="en-US" w:eastAsia="tr-TR"/>
              </w:rPr>
              <w:t>’s system (www.inttabrizuni.ir).</w:t>
            </w:r>
          </w:p>
        </w:tc>
      </w:tr>
      <w:tr w:rsidR="00B80F3E" w:rsidRPr="00904E62" w:rsidTr="007F12F4">
        <w:trPr>
          <w:tblCellSpacing w:w="0" w:type="dxa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142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Program Contact</w:t>
            </w:r>
          </w:p>
        </w:tc>
        <w:tc>
          <w:tcPr>
            <w:tcW w:w="3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TUBITAK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 xml:space="preserve">Kerem </w:t>
            </w:r>
            <w:proofErr w:type="spellStart"/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Lutfi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 xml:space="preserve"> AKILLI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Scientific Programs Coordinator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International Cooperation Department-Bilateral and Multilateral Relations Division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TUBITAK</w:t>
            </w:r>
            <w:r w:rsidRPr="00904E62">
              <w:rPr>
                <w:rFonts w:eastAsia="Times New Roman" w:cstheme="minorHAnsi"/>
                <w:lang w:eastAsia="tr-TR"/>
              </w:rPr>
              <w:t xml:space="preserve"> 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val="en-US" w:eastAsia="tr-TR"/>
              </w:rPr>
            </w:pPr>
            <w:proofErr w:type="spellStart"/>
            <w:r w:rsidRPr="00904E62">
              <w:rPr>
                <w:rFonts w:eastAsia="Times New Roman" w:cstheme="minorHAnsi"/>
                <w:lang w:val="en-US" w:eastAsia="tr-TR"/>
              </w:rPr>
              <w:t>Tunus</w:t>
            </w:r>
            <w:proofErr w:type="spellEnd"/>
            <w:r w:rsidRPr="00904E62">
              <w:rPr>
                <w:rFonts w:eastAsia="Times New Roman" w:cstheme="minorHAnsi"/>
                <w:lang w:val="en-US" w:eastAsia="tr-TR"/>
              </w:rPr>
              <w:t xml:space="preserve"> Cad. No: 80 </w:t>
            </w:r>
            <w:proofErr w:type="spellStart"/>
            <w:r w:rsidRPr="00904E62">
              <w:rPr>
                <w:rFonts w:eastAsia="Times New Roman" w:cstheme="minorHAnsi"/>
                <w:lang w:val="en-US" w:eastAsia="tr-TR"/>
              </w:rPr>
              <w:t>Kavaklidere</w:t>
            </w:r>
            <w:proofErr w:type="spellEnd"/>
            <w:r w:rsidRPr="00904E62">
              <w:rPr>
                <w:rFonts w:eastAsia="Times New Roman" w:cstheme="minorHAnsi"/>
                <w:lang w:eastAsia="tr-TR"/>
              </w:rPr>
              <w:t xml:space="preserve"> </w:t>
            </w:r>
            <w:r w:rsidRPr="00904E62">
              <w:rPr>
                <w:rFonts w:eastAsia="Times New Roman" w:cstheme="minorHAnsi"/>
                <w:lang w:val="en-US" w:eastAsia="tr-TR"/>
              </w:rPr>
              <w:t xml:space="preserve">06100 ANKARA TURKEY </w:t>
            </w:r>
          </w:p>
          <w:p w:rsidR="00B80F3E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T +90 312 298 1638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www.tubitak.gov.tr uidb@tubitak.gov.tr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MSRT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b/>
                <w:bCs/>
                <w:lang w:val="en-US" w:eastAsia="tr-TR"/>
              </w:rPr>
            </w:pPr>
            <w:proofErr w:type="spellStart"/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>Saeid</w:t>
            </w:r>
            <w:proofErr w:type="spellEnd"/>
            <w:r w:rsidRPr="00904E62">
              <w:rPr>
                <w:rFonts w:eastAsia="Times New Roman" w:cstheme="minorHAnsi"/>
                <w:b/>
                <w:bCs/>
                <w:lang w:val="en-US" w:eastAsia="tr-TR"/>
              </w:rPr>
              <w:t xml:space="preserve"> Shojaei</w:t>
            </w:r>
          </w:p>
          <w:p w:rsidR="00B80F3E" w:rsidRPr="00904E62" w:rsidRDefault="00B80F3E" w:rsidP="007F12F4">
            <w:pPr>
              <w:spacing w:before="100" w:beforeAutospacing="1" w:after="0" w:line="288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Director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International &amp; Academic Cooperation Directorate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val="en-US" w:eastAsia="tr-TR"/>
              </w:rPr>
            </w:pP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University of Tabriz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904E62">
              <w:rPr>
                <w:rFonts w:eastAsia="Times New Roman" w:cstheme="minorHAnsi"/>
                <w:lang w:val="en-US" w:eastAsia="tr-TR"/>
              </w:rPr>
              <w:t>29 Bahman Blvd, University of Tabriz, Tabriz, Iran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eastAsia="tr-TR"/>
              </w:rPr>
              <w:t>Tel: +984133393635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904E62">
              <w:rPr>
                <w:rFonts w:eastAsia="Times New Roman" w:cstheme="minorHAnsi"/>
                <w:lang w:eastAsia="tr-TR"/>
              </w:rPr>
              <w:t>Fax</w:t>
            </w:r>
            <w:proofErr w:type="spellEnd"/>
            <w:r w:rsidRPr="00904E62">
              <w:rPr>
                <w:rFonts w:eastAsia="Times New Roman" w:cstheme="minorHAnsi"/>
                <w:lang w:eastAsia="tr-TR"/>
              </w:rPr>
              <w:t>:+984233344272</w:t>
            </w:r>
          </w:p>
          <w:p w:rsidR="00B80F3E" w:rsidRPr="00904E62" w:rsidRDefault="00B80F3E" w:rsidP="007F12F4">
            <w:pPr>
              <w:spacing w:before="100" w:beforeAutospacing="1" w:after="0" w:line="240" w:lineRule="auto"/>
              <w:rPr>
                <w:rFonts w:eastAsia="Times New Roman" w:cstheme="minorHAnsi"/>
                <w:lang w:eastAsia="tr-TR"/>
              </w:rPr>
            </w:pPr>
            <w:r w:rsidRPr="00904E62">
              <w:rPr>
                <w:rFonts w:eastAsia="Times New Roman" w:cstheme="minorHAnsi"/>
                <w:lang w:eastAsia="tr-TR"/>
              </w:rPr>
              <w:t>irtu@</w:t>
            </w:r>
            <w:proofErr w:type="gramStart"/>
            <w:r w:rsidRPr="00904E62">
              <w:rPr>
                <w:rFonts w:eastAsia="Times New Roman" w:cstheme="minorHAnsi"/>
                <w:lang w:eastAsia="tr-TR"/>
              </w:rPr>
              <w:t>tabrizu.ac</w:t>
            </w:r>
            <w:proofErr w:type="gramEnd"/>
            <w:r w:rsidRPr="00904E62">
              <w:rPr>
                <w:rFonts w:eastAsia="Times New Roman" w:cstheme="minorHAnsi"/>
                <w:lang w:eastAsia="tr-TR"/>
              </w:rPr>
              <w:t>.ir</w:t>
            </w:r>
          </w:p>
        </w:tc>
      </w:tr>
    </w:tbl>
    <w:p w:rsidR="00684975" w:rsidRPr="00904E62" w:rsidRDefault="00684975">
      <w:pPr>
        <w:rPr>
          <w:rFonts w:cstheme="minorHAnsi"/>
        </w:rPr>
      </w:pPr>
    </w:p>
    <w:sectPr w:rsidR="00684975" w:rsidRPr="0090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panose1 w:val="00000000000000000000"/>
    <w:charset w:val="B1"/>
    <w:family w:val="auto"/>
    <w:notTrueType/>
    <w:pitch w:val="default"/>
    <w:sig w:usb0="00000000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2CF"/>
    <w:multiLevelType w:val="hybridMultilevel"/>
    <w:tmpl w:val="3F864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DC5"/>
    <w:multiLevelType w:val="multilevel"/>
    <w:tmpl w:val="D30E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8206C"/>
    <w:multiLevelType w:val="hybridMultilevel"/>
    <w:tmpl w:val="42401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6DB4"/>
    <w:multiLevelType w:val="hybridMultilevel"/>
    <w:tmpl w:val="10DE5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663"/>
    <w:multiLevelType w:val="hybridMultilevel"/>
    <w:tmpl w:val="715C3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E3A"/>
    <w:multiLevelType w:val="hybridMultilevel"/>
    <w:tmpl w:val="0A3E5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E"/>
    <w:rsid w:val="001F7E02"/>
    <w:rsid w:val="002C5B32"/>
    <w:rsid w:val="00436DCA"/>
    <w:rsid w:val="005828C8"/>
    <w:rsid w:val="0068209C"/>
    <w:rsid w:val="00684975"/>
    <w:rsid w:val="00695EF5"/>
    <w:rsid w:val="00904E62"/>
    <w:rsid w:val="00B80F3E"/>
    <w:rsid w:val="00CF7FB2"/>
    <w:rsid w:val="00D73880"/>
    <w:rsid w:val="00F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DB05"/>
  <w15:chartTrackingRefBased/>
  <w15:docId w15:val="{06409D5F-CC36-480B-93E9-382A3CEB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0F3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B8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tu@tabrizu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bitak.gov.tr/sites/default/files/3125/1071_arastirma_projeleri_surec_dokum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L. AKILLI</dc:creator>
  <cp:keywords/>
  <dc:description/>
  <cp:lastModifiedBy>Kerem L. AKILLI</cp:lastModifiedBy>
  <cp:revision>13</cp:revision>
  <dcterms:created xsi:type="dcterms:W3CDTF">2019-07-12T07:48:00Z</dcterms:created>
  <dcterms:modified xsi:type="dcterms:W3CDTF">2019-07-18T07:07:00Z</dcterms:modified>
</cp:coreProperties>
</file>