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7DFA7" w14:textId="326EE3A6" w:rsidR="005C092D" w:rsidRPr="00782BA9" w:rsidRDefault="005C092D" w:rsidP="00653358">
      <w:pPr>
        <w:jc w:val="center"/>
        <w:rPr>
          <w:rFonts w:ascii="Arial" w:hAnsi="Arial" w:cs="Arial"/>
          <w:color w:val="333333"/>
          <w:shd w:val="clear" w:color="auto" w:fill="FFFFFF"/>
        </w:rPr>
      </w:pPr>
      <w:r w:rsidRPr="00782BA9">
        <w:rPr>
          <w:rFonts w:ascii="Arial" w:hAnsi="Arial" w:cs="Arial"/>
          <w:noProof/>
          <w:color w:val="333333"/>
          <w:shd w:val="clear" w:color="auto" w:fill="FFFFFF"/>
          <w:lang w:eastAsia="tr-TR"/>
        </w:rPr>
        <w:drawing>
          <wp:inline distT="0" distB="0" distL="0" distR="0" wp14:anchorId="1BF60849" wp14:editId="61B4CAFC">
            <wp:extent cx="1192696" cy="897121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62" cy="9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C2643" w14:textId="70E6EAB7" w:rsidR="004171E8" w:rsidRPr="00782BA9" w:rsidRDefault="00F067BE" w:rsidP="00A4122F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782BA9">
        <w:rPr>
          <w:rFonts w:ascii="Arial" w:hAnsi="Arial" w:cs="Arial"/>
          <w:color w:val="333333"/>
          <w:shd w:val="clear" w:color="auto" w:fill="FFFFFF"/>
        </w:rPr>
        <w:t>ERA-NET ACT (</w:t>
      </w:r>
      <w:r w:rsidRPr="00782BA9">
        <w:rPr>
          <w:rFonts w:ascii="Arial" w:hAnsi="Arial" w:cs="Arial"/>
          <w:b/>
          <w:color w:val="333333"/>
          <w:shd w:val="clear" w:color="auto" w:fill="FFFFFF"/>
        </w:rPr>
        <w:t>A</w:t>
      </w:r>
      <w:r w:rsidR="00992C0A">
        <w:rPr>
          <w:rFonts w:ascii="Arial" w:hAnsi="Arial" w:cs="Arial"/>
          <w:color w:val="333333"/>
          <w:shd w:val="clear" w:color="auto" w:fill="FFFFFF"/>
        </w:rPr>
        <w:t>ccel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erating </w:t>
      </w:r>
      <w:r w:rsidRPr="00782BA9">
        <w:rPr>
          <w:rFonts w:ascii="Arial" w:hAnsi="Arial" w:cs="Arial"/>
          <w:b/>
          <w:color w:val="333333"/>
          <w:shd w:val="clear" w:color="auto" w:fill="FFFFFF"/>
        </w:rPr>
        <w:t>C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CS </w:t>
      </w:r>
      <w:r w:rsidR="005C092D" w:rsidRPr="00782BA9">
        <w:rPr>
          <w:rFonts w:ascii="Arial" w:hAnsi="Arial" w:cs="Arial"/>
          <w:b/>
          <w:color w:val="333333"/>
          <w:shd w:val="clear" w:color="auto" w:fill="FFFFFF"/>
        </w:rPr>
        <w:t>T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echnologies as a 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N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ew 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L</w:t>
      </w:r>
      <w:r w:rsidRPr="00782BA9">
        <w:rPr>
          <w:rFonts w:ascii="Arial" w:hAnsi="Arial" w:cs="Arial"/>
          <w:color w:val="333333"/>
          <w:shd w:val="clear" w:color="auto" w:fill="FFFFFF"/>
        </w:rPr>
        <w:t>ow-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C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arbon 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E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nergy 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V</w:t>
      </w:r>
      <w:r w:rsidRPr="00782BA9">
        <w:rPr>
          <w:rFonts w:ascii="Arial" w:hAnsi="Arial" w:cs="Arial"/>
          <w:color w:val="333333"/>
          <w:shd w:val="clear" w:color="auto" w:fill="FFFFFF"/>
        </w:rPr>
        <w:t>ector) Pro</w:t>
      </w:r>
      <w:r w:rsidR="00D45B7A" w:rsidRPr="00782BA9">
        <w:rPr>
          <w:rFonts w:ascii="Arial" w:hAnsi="Arial" w:cs="Arial"/>
          <w:color w:val="333333"/>
          <w:shd w:val="clear" w:color="auto" w:fill="FFFFFF"/>
        </w:rPr>
        <w:t>jesi, TÜBİTAK’ın da ortak o</w:t>
      </w:r>
      <w:bookmarkStart w:id="0" w:name="_GoBack"/>
      <w:bookmarkEnd w:id="0"/>
      <w:r w:rsidR="00D45B7A" w:rsidRPr="00782BA9">
        <w:rPr>
          <w:rFonts w:ascii="Arial" w:hAnsi="Arial" w:cs="Arial"/>
          <w:color w:val="333333"/>
          <w:shd w:val="clear" w:color="auto" w:fill="FFFFFF"/>
        </w:rPr>
        <w:t>lduğu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 Avrupa Komisyonu tarafından Ufuk 2020 programı kapsamında desteklenen bir projedir. ERA-NET </w:t>
      </w:r>
      <w:r w:rsidR="00BC0906" w:rsidRPr="00782BA9">
        <w:rPr>
          <w:rFonts w:ascii="Arial" w:hAnsi="Arial" w:cs="Arial"/>
          <w:color w:val="333333"/>
          <w:shd w:val="clear" w:color="auto" w:fill="FFFFFF"/>
        </w:rPr>
        <w:t>ACT</w:t>
      </w:r>
      <w:r w:rsidR="00B5250A">
        <w:rPr>
          <w:rFonts w:ascii="Arial" w:hAnsi="Arial" w:cs="Arial"/>
          <w:color w:val="333333"/>
          <w:shd w:val="clear" w:color="auto" w:fill="FFFFFF"/>
        </w:rPr>
        <w:t xml:space="preserve"> Projesi kapsamında</w:t>
      </w:r>
      <w:r w:rsidR="004C12FC">
        <w:rPr>
          <w:rFonts w:ascii="Arial" w:hAnsi="Arial" w:cs="Arial"/>
          <w:color w:val="333333"/>
          <w:shd w:val="clear" w:color="auto" w:fill="FFFFFF"/>
        </w:rPr>
        <w:t xml:space="preserve"> ilk çağrı</w:t>
      </w:r>
      <w:r w:rsidRPr="00782BA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5250A">
        <w:rPr>
          <w:rFonts w:ascii="Arial" w:hAnsi="Arial" w:cs="Arial"/>
          <w:color w:val="333333"/>
          <w:shd w:val="clear" w:color="auto" w:fill="FFFFFF"/>
        </w:rPr>
        <w:t xml:space="preserve">7 Haziran </w:t>
      </w:r>
      <w:r w:rsidRPr="00782BA9">
        <w:rPr>
          <w:rFonts w:ascii="Arial" w:hAnsi="Arial" w:cs="Arial"/>
          <w:color w:val="333333"/>
          <w:shd w:val="clear" w:color="auto" w:fill="FFFFFF"/>
        </w:rPr>
        <w:t>2016</w:t>
      </w:r>
      <w:r w:rsidR="00B5250A">
        <w:rPr>
          <w:rFonts w:ascii="Arial" w:hAnsi="Arial" w:cs="Arial"/>
          <w:color w:val="333333"/>
          <w:shd w:val="clear" w:color="auto" w:fill="FFFFFF"/>
        </w:rPr>
        <w:t xml:space="preserve"> tarihinde açılacaktır.</w:t>
      </w:r>
    </w:p>
    <w:p w14:paraId="2FACD47C" w14:textId="77777777" w:rsidR="001D24F5" w:rsidRPr="00782BA9" w:rsidRDefault="001D24F5" w:rsidP="001D24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782BA9">
        <w:rPr>
          <w:rFonts w:ascii="Arial" w:hAnsi="Arial" w:cs="Arial"/>
          <w:b/>
          <w:color w:val="000000"/>
        </w:rPr>
        <w:t>ACT Nedir?</w:t>
      </w:r>
    </w:p>
    <w:p w14:paraId="51608F6A" w14:textId="2A85F824" w:rsidR="006603DC" w:rsidRPr="00782BA9" w:rsidRDefault="00BC0906" w:rsidP="00A4122F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782BA9">
        <w:rPr>
          <w:rFonts w:ascii="Arial" w:hAnsi="Arial" w:cs="Arial"/>
          <w:color w:val="333333"/>
          <w:shd w:val="clear" w:color="auto" w:fill="FFFFFF"/>
        </w:rPr>
        <w:t>ERA-NET ACT projesinin amacı k</w:t>
      </w:r>
      <w:r w:rsidR="00A4122F" w:rsidRPr="00782BA9">
        <w:rPr>
          <w:rFonts w:ascii="Arial" w:hAnsi="Arial" w:cs="Arial"/>
          <w:color w:val="333333"/>
          <w:shd w:val="clear" w:color="auto" w:fill="FFFFFF"/>
        </w:rPr>
        <w:t>arbon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dioksit</w:t>
      </w:r>
      <w:r w:rsidR="00A4122F" w:rsidRPr="00782BA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56195" w:rsidRPr="00782BA9">
        <w:rPr>
          <w:rFonts w:ascii="Arial" w:hAnsi="Arial" w:cs="Arial"/>
          <w:color w:val="333333"/>
          <w:shd w:val="clear" w:color="auto" w:fill="FFFFFF"/>
        </w:rPr>
        <w:t>yakalama ve depolama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 xml:space="preserve"> (CCS)</w:t>
      </w:r>
      <w:r w:rsidR="00156195" w:rsidRPr="00782BA9">
        <w:rPr>
          <w:rFonts w:ascii="Arial" w:hAnsi="Arial" w:cs="Arial"/>
          <w:color w:val="333333"/>
          <w:shd w:val="clear" w:color="auto" w:fill="FFFFFF"/>
        </w:rPr>
        <w:t xml:space="preserve"> teknolojilerinin 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>gelişiminin</w:t>
      </w:r>
      <w:r w:rsidR="001D24F5" w:rsidRPr="00782BA9">
        <w:rPr>
          <w:rFonts w:ascii="Arial" w:hAnsi="Arial" w:cs="Arial"/>
          <w:color w:val="333333"/>
          <w:shd w:val="clear" w:color="auto" w:fill="FFFFFF"/>
        </w:rPr>
        <w:t xml:space="preserve"> hızlandırılması amacıyla </w:t>
      </w:r>
      <w:r w:rsidR="005C092D" w:rsidRPr="00782BA9">
        <w:rPr>
          <w:rFonts w:ascii="Arial" w:hAnsi="Arial" w:cs="Arial"/>
          <w:color w:val="333333"/>
          <w:shd w:val="clear" w:color="auto" w:fill="FFFFFF"/>
        </w:rPr>
        <w:t xml:space="preserve">ArGe ve Yenilik </w:t>
      </w:r>
      <w:r w:rsidR="001D24F5" w:rsidRPr="00782BA9">
        <w:rPr>
          <w:rFonts w:ascii="Arial" w:hAnsi="Arial" w:cs="Arial"/>
          <w:color w:val="333333"/>
          <w:shd w:val="clear" w:color="auto" w:fill="FFFFFF"/>
        </w:rPr>
        <w:t xml:space="preserve">faaliyetlerinin desteklenmesidir. </w:t>
      </w:r>
      <w:r w:rsidR="006603DC" w:rsidRPr="00782BA9">
        <w:rPr>
          <w:rFonts w:ascii="Arial" w:hAnsi="Arial" w:cs="Arial"/>
          <w:color w:val="333333"/>
          <w:shd w:val="clear" w:color="auto" w:fill="FFFFFF"/>
        </w:rPr>
        <w:t xml:space="preserve">ACT dokuz ülkeden on ortak kuruluşun katılımı ile </w:t>
      </w:r>
      <w:r w:rsidR="00782BA9" w:rsidRPr="00782BA9">
        <w:rPr>
          <w:rFonts w:ascii="Arial" w:hAnsi="Arial" w:cs="Arial"/>
          <w:color w:val="333333"/>
          <w:shd w:val="clear" w:color="auto" w:fill="FFFFFF"/>
        </w:rPr>
        <w:t xml:space="preserve">oluşturulmuş bir konsorsiyum olup, CCS alanındaki ArGe projeleri için </w:t>
      </w:r>
      <w:r w:rsidR="00A814CB">
        <w:rPr>
          <w:rFonts w:ascii="Arial" w:hAnsi="Arial" w:cs="Arial"/>
          <w:color w:val="333333"/>
          <w:shd w:val="clear" w:color="auto" w:fill="FFFFFF"/>
        </w:rPr>
        <w:t>Haziran-2016’da ortak çağrı açıla</w:t>
      </w:r>
      <w:r w:rsidR="00782BA9" w:rsidRPr="00782BA9">
        <w:rPr>
          <w:rFonts w:ascii="Arial" w:hAnsi="Arial" w:cs="Arial"/>
          <w:color w:val="333333"/>
          <w:shd w:val="clear" w:color="auto" w:fill="FFFFFF"/>
        </w:rPr>
        <w:t xml:space="preserve">caktır. </w:t>
      </w:r>
    </w:p>
    <w:p w14:paraId="2BF016F8" w14:textId="77777777" w:rsidR="00782BA9" w:rsidRPr="00782BA9" w:rsidRDefault="00782BA9" w:rsidP="00A4122F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782BA9">
        <w:rPr>
          <w:rFonts w:ascii="Arial" w:hAnsi="Arial" w:cs="Arial"/>
          <w:noProof/>
          <w:color w:val="333333"/>
          <w:shd w:val="clear" w:color="auto" w:fill="FFFFFF"/>
          <w:lang w:eastAsia="tr-TR"/>
        </w:rPr>
        <w:drawing>
          <wp:inline distT="0" distB="0" distL="0" distR="0" wp14:anchorId="031E33FE" wp14:editId="38BD4667">
            <wp:extent cx="2655570" cy="2470374"/>
            <wp:effectExtent l="0" t="0" r="0" b="635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47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313863D3" w14:textId="0A90E50D" w:rsidR="005C092D" w:rsidRPr="00782BA9" w:rsidRDefault="00644BC0" w:rsidP="00A4122F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782BA9">
        <w:rPr>
          <w:rFonts w:ascii="Arial" w:hAnsi="Arial" w:cs="Arial"/>
          <w:color w:val="333333"/>
          <w:shd w:val="clear" w:color="auto" w:fill="FFFFFF"/>
        </w:rPr>
        <w:t xml:space="preserve">Bu çağrı için </w:t>
      </w:r>
      <w:r w:rsidR="00EB55A8">
        <w:rPr>
          <w:rFonts w:ascii="Arial" w:hAnsi="Arial" w:cs="Arial"/>
          <w:color w:val="333333"/>
          <w:shd w:val="clear" w:color="auto" w:fill="FFFFFF"/>
        </w:rPr>
        <w:t xml:space="preserve">oluşturulan bütçe yaklaşık 41 </w:t>
      </w:r>
      <w:r w:rsidR="00C23EE8" w:rsidRPr="00782BA9">
        <w:rPr>
          <w:rFonts w:ascii="Arial" w:hAnsi="Arial" w:cs="Arial"/>
          <w:color w:val="333333"/>
          <w:shd w:val="clear" w:color="auto" w:fill="FFFFFF"/>
        </w:rPr>
        <w:t>milyon Euro olup, enerji ve endüstriyel sektörlerin de yer almasını sağlamak amacıyla büyük ölçekli uluslara</w:t>
      </w:r>
      <w:r w:rsidR="0058548E">
        <w:rPr>
          <w:rFonts w:ascii="Arial" w:hAnsi="Arial" w:cs="Arial"/>
          <w:color w:val="333333"/>
          <w:shd w:val="clear" w:color="auto" w:fill="FFFFFF"/>
        </w:rPr>
        <w:t>rası projelere öncelik verilecektir.</w:t>
      </w:r>
      <w:r w:rsidR="00F76801">
        <w:rPr>
          <w:rFonts w:ascii="Arial" w:hAnsi="Arial" w:cs="Arial"/>
          <w:color w:val="333333"/>
          <w:shd w:val="clear" w:color="auto" w:fill="FFFFFF"/>
        </w:rPr>
        <w:t xml:space="preserve"> Türkiye bu çağrıya 2 Milyon Euro ile katılmaktadır.</w:t>
      </w:r>
      <w:r w:rsidR="00F05ABC">
        <w:rPr>
          <w:rFonts w:ascii="Arial" w:hAnsi="Arial" w:cs="Arial"/>
          <w:color w:val="333333"/>
          <w:shd w:val="clear" w:color="auto" w:fill="FFFFFF"/>
        </w:rPr>
        <w:t xml:space="preserve"> Katılımcı ülkelerin toplam bütçedeki payı </w:t>
      </w:r>
      <w:r w:rsidR="00A814CB">
        <w:rPr>
          <w:rFonts w:ascii="Arial" w:hAnsi="Arial" w:cs="Arial"/>
          <w:color w:val="333333"/>
          <w:shd w:val="clear" w:color="auto" w:fill="FFFFFF"/>
        </w:rPr>
        <w:t xml:space="preserve">yukarıdaki </w:t>
      </w:r>
      <w:r w:rsidR="00F05ABC">
        <w:rPr>
          <w:rFonts w:ascii="Arial" w:hAnsi="Arial" w:cs="Arial"/>
          <w:color w:val="333333"/>
          <w:shd w:val="clear" w:color="auto" w:fill="FFFFFF"/>
        </w:rPr>
        <w:t>grafikte gösterilmiştir.</w:t>
      </w:r>
    </w:p>
    <w:p w14:paraId="083A443C" w14:textId="314DCF01" w:rsidR="005C092D" w:rsidRPr="00782BA9" w:rsidRDefault="005C092D" w:rsidP="00F05ABC">
      <w:pPr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782BA9">
        <w:rPr>
          <w:rFonts w:ascii="Arial" w:hAnsi="Arial" w:cs="Arial"/>
          <w:noProof/>
          <w:color w:val="333333"/>
          <w:shd w:val="clear" w:color="auto" w:fill="FFFFFF"/>
          <w:lang w:eastAsia="tr-TR"/>
        </w:rPr>
        <w:lastRenderedPageBreak/>
        <w:drawing>
          <wp:inline distT="0" distB="0" distL="0" distR="0" wp14:anchorId="110B1C6D" wp14:editId="5253BCA1">
            <wp:extent cx="2663687" cy="1383527"/>
            <wp:effectExtent l="0" t="0" r="22860" b="2667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CD695C" w14:textId="76B1B944" w:rsidR="00F05ABC" w:rsidRPr="00EB55A8" w:rsidRDefault="00F05ABC" w:rsidP="00EB55A8">
      <w:pPr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05ABC">
        <w:rPr>
          <w:rFonts w:ascii="Arial" w:hAnsi="Arial" w:cs="Arial"/>
          <w:color w:val="333333"/>
          <w:shd w:val="clear" w:color="auto" w:fill="FFFFFF"/>
        </w:rPr>
        <w:t>ACT’ın toplam bütçesi yaklaşık 41 M€</w:t>
      </w:r>
      <w:r>
        <w:rPr>
          <w:rFonts w:ascii="Arial" w:hAnsi="Arial" w:cs="Arial"/>
          <w:color w:val="333333"/>
          <w:shd w:val="clear" w:color="auto" w:fill="FFFFFF"/>
        </w:rPr>
        <w:t>’ dur.</w:t>
      </w:r>
    </w:p>
    <w:p w14:paraId="7DD9CB6A" w14:textId="074A359E" w:rsidR="00DD1007" w:rsidRPr="00D50766" w:rsidRDefault="00DD1007" w:rsidP="00A4122F">
      <w:pPr>
        <w:jc w:val="both"/>
        <w:rPr>
          <w:rFonts w:ascii="Arial" w:hAnsi="Arial" w:cs="Arial"/>
          <w:b/>
          <w:color w:val="333333"/>
          <w:u w:val="single"/>
          <w:shd w:val="clear" w:color="auto" w:fill="FFFFFF"/>
        </w:rPr>
      </w:pPr>
      <w:r w:rsidRPr="00D50766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ACT </w:t>
      </w:r>
      <w:r w:rsidR="00A814CB" w:rsidRPr="00D50766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Çağrı </w:t>
      </w:r>
      <w:r w:rsidRPr="00D50766">
        <w:rPr>
          <w:rFonts w:ascii="Arial" w:hAnsi="Arial" w:cs="Arial"/>
          <w:b/>
          <w:color w:val="333333"/>
          <w:u w:val="single"/>
          <w:shd w:val="clear" w:color="auto" w:fill="FFFFFF"/>
        </w:rPr>
        <w:t>Takvimi</w:t>
      </w:r>
      <w:r w:rsidR="00D50766">
        <w:rPr>
          <w:rFonts w:ascii="Arial" w:hAnsi="Arial" w:cs="Arial"/>
          <w:b/>
          <w:color w:val="333333"/>
          <w:u w:val="single"/>
          <w:shd w:val="clear" w:color="auto" w:fill="FFFFFF"/>
        </w:rPr>
        <w:t>:</w:t>
      </w:r>
    </w:p>
    <w:p w14:paraId="112665AA" w14:textId="3CDCE4C1" w:rsidR="00913BA3" w:rsidRPr="00B80821" w:rsidRDefault="00B5250A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7</w:t>
      </w:r>
      <w:r w:rsidR="005A797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Haziran</w:t>
      </w:r>
      <w:r w:rsidR="00913BA3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2016:</w:t>
      </w:r>
      <w:r w:rsidR="00913BA3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Çağrı metni duyurusu</w:t>
      </w:r>
    </w:p>
    <w:p w14:paraId="0916F7F0" w14:textId="3F76BEE0" w:rsidR="00913BA3" w:rsidRPr="00B80821" w:rsidRDefault="005A7977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7 Eylül </w:t>
      </w:r>
      <w:r w:rsidR="00913BA3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2016:</w:t>
      </w:r>
      <w:r w:rsidR="00913BA3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Birinci</w:t>
      </w:r>
      <w:r w:rsidR="00913BA3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913BA3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şama başvuruları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nın teslimi</w:t>
      </w:r>
      <w:r w:rsidR="00913BA3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için son gün</w:t>
      </w:r>
    </w:p>
    <w:p w14:paraId="2DE2DC39" w14:textId="14097FF4" w:rsidR="0090604D" w:rsidRPr="00B80821" w:rsidRDefault="005A7977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7-30 Eylül</w:t>
      </w:r>
      <w:r w:rsidR="0058548E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0604D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2016: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Birinci aşama başvurularının değerlendirilmesi ve b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irinci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şamadan geçen projelerin 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ikinci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şama başvurusuna davet edilmesi</w:t>
      </w:r>
    </w:p>
    <w:p w14:paraId="40FE5D80" w14:textId="37732A01" w:rsidR="0090604D" w:rsidRPr="00B80821" w:rsidRDefault="005A7977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16 Ocak 2017</w:t>
      </w:r>
      <w:r w:rsidR="0090604D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İkinci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aşama başvuruları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nın teslimi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için son gün</w:t>
      </w:r>
    </w:p>
    <w:p w14:paraId="2EE8BB50" w14:textId="7249D63D" w:rsidR="0090604D" w:rsidRPr="00B80821" w:rsidRDefault="005A7977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16-31 Ocak</w:t>
      </w:r>
      <w:r w:rsidR="0058548E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0604D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2017:</w:t>
      </w:r>
      <w:r w:rsidR="0058548E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İkinci aşama başvurularının ön-d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eğerlendirmelerin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in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tamamlanması</w:t>
      </w:r>
    </w:p>
    <w:p w14:paraId="3166C6A7" w14:textId="5643D0E4" w:rsidR="0090604D" w:rsidRDefault="005A7977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Mart</w:t>
      </w:r>
      <w:r w:rsidR="00EB55A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0604D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2017: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İkinci aşama başvurularının panellerinin </w:t>
      </w:r>
      <w:r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tamamlanması</w:t>
      </w:r>
    </w:p>
    <w:p w14:paraId="08FA0540" w14:textId="206FE58E" w:rsidR="005A7977" w:rsidRPr="005A7977" w:rsidRDefault="00EB55A8" w:rsidP="00CB7B9D">
      <w:pPr>
        <w:spacing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Nisan </w:t>
      </w:r>
      <w:r w:rsidR="005A7977" w:rsidRPr="005A797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2017:</w:t>
      </w:r>
      <w:r w:rsidR="005A797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B55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İkinci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aşama başvurularının </w:t>
      </w:r>
      <w:r w:rsidRPr="00EB55A8">
        <w:rPr>
          <w:rFonts w:ascii="Arial" w:hAnsi="Arial" w:cs="Arial"/>
          <w:color w:val="333333"/>
          <w:sz w:val="24"/>
          <w:szCs w:val="24"/>
          <w:shd w:val="clear" w:color="auto" w:fill="FFFFFF"/>
        </w:rPr>
        <w:t>sonuçlarının duyurulması</w:t>
      </w:r>
    </w:p>
    <w:p w14:paraId="78BA9D26" w14:textId="37782EB7" w:rsidR="0090604D" w:rsidRPr="00B80821" w:rsidRDefault="00EB55A8" w:rsidP="00CB7B9D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Temmuz 2017</w:t>
      </w:r>
      <w:r w:rsidR="0090604D"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  <w:r w:rsidR="0090604D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Desteklenen projelerin sözleşmelerinin hazırlanması</w:t>
      </w:r>
    </w:p>
    <w:p w14:paraId="6B79FB00" w14:textId="419F277C" w:rsidR="00D50766" w:rsidRPr="00D50766" w:rsidRDefault="00DD1007" w:rsidP="00A4122F">
      <w:pPr>
        <w:jc w:val="both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D65075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ACT hakkında detaylı bilgilere </w:t>
      </w:r>
      <w:r w:rsidR="00EB55A8" w:rsidRPr="00D65075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       </w:t>
      </w:r>
      <w:hyperlink r:id="rId8" w:history="1">
        <w:r w:rsidRPr="00D65075">
          <w:rPr>
            <w:rStyle w:val="Kpr"/>
            <w:rFonts w:ascii="Arial" w:hAnsi="Arial" w:cs="Arial"/>
            <w:b/>
            <w:color w:val="FF0000"/>
            <w:sz w:val="24"/>
            <w:szCs w:val="24"/>
            <w:shd w:val="clear" w:color="auto" w:fill="FFFFFF"/>
          </w:rPr>
          <w:t>www.act-ccs.eu</w:t>
        </w:r>
      </w:hyperlink>
      <w:r w:rsidRPr="00D65075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web sitesinden ulaşılabilir.</w:t>
      </w:r>
    </w:p>
    <w:p w14:paraId="73659CF3" w14:textId="11BA9CE3" w:rsidR="00913BA3" w:rsidRPr="00D50766" w:rsidRDefault="005F1F0A" w:rsidP="00A4122F">
      <w:pPr>
        <w:jc w:val="both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B8082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B80821" w:rsidRPr="00D5076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T</w:t>
      </w:r>
      <w:r w:rsidRPr="00D5076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ematik </w:t>
      </w:r>
      <w:r w:rsidR="00B80821" w:rsidRPr="00D5076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A</w:t>
      </w:r>
      <w:r w:rsidRPr="00D5076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lanlar</w:t>
      </w:r>
      <w:r w:rsidR="00D50766" w:rsidRPr="00D5076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14:paraId="7AB55BA5" w14:textId="29179CB9" w:rsidR="005F1F0A" w:rsidRDefault="00392C9E" w:rsidP="00A4122F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Çağrı metni henü</w:t>
      </w:r>
      <w:r w:rsidR="00B80821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 </w:t>
      </w:r>
      <w:r w:rsidR="00EB55A8">
        <w:rPr>
          <w:rFonts w:ascii="Arial" w:hAnsi="Arial" w:cs="Arial"/>
          <w:color w:val="333333"/>
          <w:sz w:val="24"/>
          <w:szCs w:val="24"/>
          <w:shd w:val="clear" w:color="auto" w:fill="FFFFFF"/>
        </w:rPr>
        <w:t>yayınlanmamış</w:t>
      </w:r>
      <w:r w:rsidR="00B80821"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olmakla birlikte</w:t>
      </w:r>
      <w:r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bütçenin büyük bir kısmının aşağıda </w:t>
      </w:r>
      <w:r w:rsidR="00EB55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belirtilen tematik alanlardaki </w:t>
      </w:r>
      <w:r w:rsidRPr="00B80821">
        <w:rPr>
          <w:rFonts w:ascii="Arial" w:hAnsi="Arial" w:cs="Arial"/>
          <w:color w:val="333333"/>
          <w:sz w:val="24"/>
          <w:szCs w:val="24"/>
          <w:shd w:val="clear" w:color="auto" w:fill="FFFFFF"/>
        </w:rPr>
        <w:t>büyük ölçekli projelere aktarılması hedeflenmektedir.</w:t>
      </w:r>
      <w:r w:rsidR="008E683B" w:rsidRPr="008E683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E683B" w:rsidRPr="00782BA9">
        <w:rPr>
          <w:rFonts w:ascii="Arial" w:hAnsi="Arial" w:cs="Arial"/>
          <w:color w:val="333333"/>
          <w:shd w:val="clear" w:color="auto" w:fill="FFFFFF"/>
        </w:rPr>
        <w:t xml:space="preserve">Pilot veya </w:t>
      </w:r>
      <w:r w:rsidR="00EB55A8">
        <w:rPr>
          <w:rFonts w:ascii="Arial" w:hAnsi="Arial" w:cs="Arial"/>
          <w:color w:val="333333"/>
          <w:shd w:val="clear" w:color="auto" w:fill="FFFFFF"/>
        </w:rPr>
        <w:t>demonstrasyon projeleriyle</w:t>
      </w:r>
      <w:r w:rsidR="008E683B" w:rsidRPr="00782BA9">
        <w:rPr>
          <w:rFonts w:ascii="Arial" w:hAnsi="Arial" w:cs="Arial"/>
          <w:color w:val="333333"/>
          <w:shd w:val="clear" w:color="auto" w:fill="FFFFFF"/>
        </w:rPr>
        <w:t xml:space="preserve"> bağlantılı olan projeler daha olumlu karşılanacaktır.</w:t>
      </w:r>
      <w:r w:rsidR="00D650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5075" w:rsidRPr="00782BA9">
        <w:rPr>
          <w:rFonts w:ascii="Arial" w:hAnsi="Arial" w:cs="Arial"/>
          <w:color w:val="333333"/>
          <w:shd w:val="clear" w:color="auto" w:fill="FFFFFF"/>
        </w:rPr>
        <w:lastRenderedPageBreak/>
        <w:t>Bütçenin küçük bir kısmının da küçük ölçekli Ar</w:t>
      </w:r>
      <w:r w:rsidR="00D65075">
        <w:rPr>
          <w:rFonts w:ascii="Arial" w:hAnsi="Arial" w:cs="Arial"/>
          <w:color w:val="333333"/>
          <w:shd w:val="clear" w:color="auto" w:fill="FFFFFF"/>
        </w:rPr>
        <w:t>-</w:t>
      </w:r>
      <w:r w:rsidR="00D65075" w:rsidRPr="00782BA9">
        <w:rPr>
          <w:rFonts w:ascii="Arial" w:hAnsi="Arial" w:cs="Arial"/>
          <w:color w:val="333333"/>
          <w:shd w:val="clear" w:color="auto" w:fill="FFFFFF"/>
        </w:rPr>
        <w:t xml:space="preserve">Ge projeleri için ayrılması düşünülmektedir.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2"/>
        <w:gridCol w:w="2416"/>
      </w:tblGrid>
      <w:tr w:rsidR="00392C9E" w:rsidRPr="00782BA9" w14:paraId="2FF437AA" w14:textId="77777777" w:rsidTr="00B80821">
        <w:tc>
          <w:tcPr>
            <w:tcW w:w="1982" w:type="dxa"/>
          </w:tcPr>
          <w:p w14:paraId="046DEAA3" w14:textId="6C481A24" w:rsidR="00392C9E" w:rsidRPr="00B80821" w:rsidRDefault="00F05ABC" w:rsidP="00A4122F">
            <w:pPr>
              <w:jc w:val="both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T</w:t>
            </w:r>
            <w:r w:rsidR="00392C9E" w:rsidRPr="00B80821">
              <w:rPr>
                <w:rFonts w:ascii="Arial" w:hAnsi="Arial" w:cs="Arial"/>
                <w:b/>
                <w:color w:val="333333"/>
                <w:shd w:val="clear" w:color="auto" w:fill="FFFFFF"/>
              </w:rPr>
              <w:t>ematik Alan</w:t>
            </w:r>
          </w:p>
        </w:tc>
        <w:tc>
          <w:tcPr>
            <w:tcW w:w="2416" w:type="dxa"/>
          </w:tcPr>
          <w:p w14:paraId="07CF1F66" w14:textId="6A1A3B65" w:rsidR="00392C9E" w:rsidRPr="00B80821" w:rsidRDefault="00392C9E" w:rsidP="00A4122F">
            <w:pPr>
              <w:jc w:val="both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B80821">
              <w:rPr>
                <w:rFonts w:ascii="Arial" w:hAnsi="Arial" w:cs="Arial"/>
                <w:b/>
                <w:color w:val="333333"/>
                <w:shd w:val="clear" w:color="auto" w:fill="FFFFFF"/>
              </w:rPr>
              <w:t>Amaç</w:t>
            </w:r>
          </w:p>
        </w:tc>
      </w:tr>
      <w:tr w:rsidR="00392C9E" w:rsidRPr="00782BA9" w14:paraId="7A5FD3F6" w14:textId="77777777" w:rsidTr="00B80821">
        <w:tc>
          <w:tcPr>
            <w:tcW w:w="1982" w:type="dxa"/>
          </w:tcPr>
          <w:p w14:paraId="470843A8" w14:textId="0B657427" w:rsidR="00392C9E" w:rsidRPr="00782BA9" w:rsidRDefault="00392C9E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Zincir Entegrasyonu</w:t>
            </w:r>
          </w:p>
        </w:tc>
        <w:tc>
          <w:tcPr>
            <w:tcW w:w="2416" w:type="dxa"/>
          </w:tcPr>
          <w:p w14:paraId="23186823" w14:textId="1B1D57E5" w:rsidR="00392C9E" w:rsidRPr="00782BA9" w:rsidRDefault="00392C9E" w:rsidP="00EB55A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T</w:t>
            </w:r>
            <w:r w:rsidR="00F94FD7" w:rsidRPr="00782BA9">
              <w:rPr>
                <w:rFonts w:ascii="Arial" w:hAnsi="Arial" w:cs="Arial"/>
                <w:color w:val="333333"/>
                <w:shd w:val="clear" w:color="auto" w:fill="FFFFFF"/>
              </w:rPr>
              <w:t>oplum duyarlılıklarını gözeten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ilgili</w:t>
            </w:r>
            <w:r w:rsidR="00F94FD7"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vaka analizlerinin de yer aldığı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F94FD7"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CO</w:t>
            </w:r>
            <w:r w:rsidRPr="00B80821">
              <w:rPr>
                <w:rFonts w:ascii="Arial" w:hAnsi="Arial" w:cs="Arial"/>
                <w:color w:val="333333"/>
                <w:shd w:val="clear" w:color="auto" w:fill="FFFFFF"/>
                <w:vertAlign w:val="subscript"/>
              </w:rPr>
              <w:t>2</w:t>
            </w:r>
            <w:r w:rsidR="008E683B">
              <w:rPr>
                <w:rFonts w:ascii="Arial" w:hAnsi="Arial" w:cs="Arial"/>
                <w:color w:val="333333"/>
                <w:shd w:val="clear" w:color="auto" w:fill="FFFFFF"/>
              </w:rPr>
              <w:t xml:space="preserve"> yakalama, taşıma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ve depolama zincirinin entegrasyonundaki boşlukları doldurmaya yönelik Ar</w:t>
            </w:r>
            <w:r w:rsidR="00EB55A8"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Ge faaliyetleri</w:t>
            </w:r>
          </w:p>
        </w:tc>
      </w:tr>
      <w:tr w:rsidR="00392C9E" w:rsidRPr="00782BA9" w14:paraId="3476AC0D" w14:textId="77777777" w:rsidTr="00B80821">
        <w:tc>
          <w:tcPr>
            <w:tcW w:w="1982" w:type="dxa"/>
          </w:tcPr>
          <w:p w14:paraId="49538EFC" w14:textId="4D425B87" w:rsidR="00392C9E" w:rsidRPr="00782BA9" w:rsidRDefault="00F94FD7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Yakalama</w:t>
            </w:r>
          </w:p>
        </w:tc>
        <w:tc>
          <w:tcPr>
            <w:tcW w:w="2416" w:type="dxa"/>
          </w:tcPr>
          <w:p w14:paraId="25A134E3" w14:textId="4AD6E337" w:rsidR="00392C9E" w:rsidRPr="00782BA9" w:rsidRDefault="00096CA3" w:rsidP="00096CA3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E</w:t>
            </w:r>
            <w:r w:rsidR="00AC289B" w:rsidRPr="00782BA9">
              <w:rPr>
                <w:rFonts w:ascii="Arial" w:hAnsi="Arial" w:cs="Arial"/>
                <w:color w:val="333333"/>
                <w:shd w:val="clear" w:color="auto" w:fill="FFFFFF"/>
              </w:rPr>
              <w:t>tkili, düşük maliyetli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AC289B"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B55A8">
              <w:rPr>
                <w:rFonts w:ascii="Arial" w:hAnsi="Arial" w:cs="Arial"/>
                <w:color w:val="333333"/>
                <w:shd w:val="clear" w:color="auto" w:fill="FFFFFF"/>
              </w:rPr>
              <w:t>yüksek operasyonel esnekliğe sahip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ve enerji etkin CO</w:t>
            </w:r>
            <w:r w:rsidRPr="005A7977">
              <w:rPr>
                <w:rFonts w:ascii="Arial" w:hAnsi="Arial" w:cs="Arial"/>
                <w:color w:val="333333"/>
                <w:shd w:val="clear" w:color="auto" w:fill="FFFFFF"/>
                <w:vertAlign w:val="subscript"/>
              </w:rPr>
              <w:t>2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A7977">
              <w:rPr>
                <w:rFonts w:ascii="Arial" w:hAnsi="Arial" w:cs="Arial"/>
                <w:color w:val="333333"/>
                <w:shd w:val="clear" w:color="auto" w:fill="FFFFFF"/>
              </w:rPr>
              <w:t xml:space="preserve">yakalamaya yönelik </w:t>
            </w:r>
            <w:r w:rsidR="00AC289B"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ileri teknolojiler </w:t>
            </w:r>
          </w:p>
        </w:tc>
      </w:tr>
      <w:tr w:rsidR="00392C9E" w:rsidRPr="00782BA9" w14:paraId="1F0CEAE7" w14:textId="77777777" w:rsidTr="00B80821">
        <w:tc>
          <w:tcPr>
            <w:tcW w:w="1982" w:type="dxa"/>
          </w:tcPr>
          <w:p w14:paraId="47B3426B" w14:textId="034FBF24" w:rsidR="00392C9E" w:rsidRPr="00782BA9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Taşıma</w:t>
            </w:r>
          </w:p>
        </w:tc>
        <w:tc>
          <w:tcPr>
            <w:tcW w:w="2416" w:type="dxa"/>
          </w:tcPr>
          <w:p w14:paraId="4307D897" w14:textId="30D7871A" w:rsidR="00392C9E" w:rsidRPr="00782BA9" w:rsidRDefault="00C958C8" w:rsidP="00EB55A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Enerji üretimi için Avrupa’nın mevcut CCS tesislerine boru hatları ve gemi taşımacılığı yoluyla CO</w:t>
            </w:r>
            <w:r w:rsidRPr="008E683B">
              <w:rPr>
                <w:rFonts w:ascii="Arial" w:hAnsi="Arial" w:cs="Arial"/>
                <w:color w:val="333333"/>
                <w:shd w:val="clear" w:color="auto" w:fill="FFFFFF"/>
                <w:vertAlign w:val="subscript"/>
              </w:rPr>
              <w:t>2</w:t>
            </w: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 taşınması</w:t>
            </w:r>
            <w:r w:rsidR="00CD50E2" w:rsidRPr="00782BA9">
              <w:rPr>
                <w:rFonts w:ascii="Arial" w:hAnsi="Arial" w:cs="Arial"/>
                <w:color w:val="333333"/>
                <w:shd w:val="clear" w:color="auto" w:fill="FFFFFF"/>
              </w:rPr>
              <w:t>na yönelik Ar</w:t>
            </w:r>
            <w:r w:rsidR="00EB55A8"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 w:rsidR="00CD50E2" w:rsidRPr="00782BA9">
              <w:rPr>
                <w:rFonts w:ascii="Arial" w:hAnsi="Arial" w:cs="Arial"/>
                <w:color w:val="333333"/>
                <w:shd w:val="clear" w:color="auto" w:fill="FFFFFF"/>
              </w:rPr>
              <w:t>Ge faaliyetleri</w:t>
            </w:r>
          </w:p>
        </w:tc>
      </w:tr>
      <w:tr w:rsidR="00392C9E" w:rsidRPr="00782BA9" w14:paraId="18BE73FE" w14:textId="77777777" w:rsidTr="00B80821">
        <w:tc>
          <w:tcPr>
            <w:tcW w:w="1982" w:type="dxa"/>
          </w:tcPr>
          <w:p w14:paraId="4D9C75C9" w14:textId="4D2F52CC" w:rsidR="00392C9E" w:rsidRPr="00782BA9" w:rsidRDefault="00CD50E2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Depolama</w:t>
            </w:r>
          </w:p>
        </w:tc>
        <w:tc>
          <w:tcPr>
            <w:tcW w:w="2416" w:type="dxa"/>
          </w:tcPr>
          <w:p w14:paraId="065F8002" w14:textId="5766CD48" w:rsidR="00392C9E" w:rsidRPr="00782BA9" w:rsidRDefault="00CD50E2" w:rsidP="00EB55A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 xml:space="preserve">İlgili depolama alanlarında ve çevresinde ölçüm, izleme ve doğrulama (MMV) araçları ve metotlarına yönelik </w:t>
            </w:r>
            <w:r w:rsidR="008E683B">
              <w:rPr>
                <w:rFonts w:ascii="Arial" w:hAnsi="Arial" w:cs="Arial"/>
                <w:color w:val="333333"/>
                <w:shd w:val="clear" w:color="auto" w:fill="FFFFFF"/>
              </w:rPr>
              <w:t>Ar</w:t>
            </w:r>
            <w:r w:rsidR="00EB55A8"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 w:rsidR="008E683B">
              <w:rPr>
                <w:rFonts w:ascii="Arial" w:hAnsi="Arial" w:cs="Arial"/>
                <w:color w:val="333333"/>
                <w:shd w:val="clear" w:color="auto" w:fill="FFFFFF"/>
              </w:rPr>
              <w:t>Ge faaliyetleri</w:t>
            </w:r>
          </w:p>
        </w:tc>
      </w:tr>
      <w:tr w:rsidR="00392C9E" w:rsidRPr="00782BA9" w14:paraId="27534B91" w14:textId="77777777" w:rsidTr="00B80821">
        <w:tc>
          <w:tcPr>
            <w:tcW w:w="1982" w:type="dxa"/>
          </w:tcPr>
          <w:p w14:paraId="3863368E" w14:textId="5130C99D" w:rsidR="00392C9E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Kullanım</w:t>
            </w:r>
          </w:p>
          <w:p w14:paraId="57B378AE" w14:textId="77777777" w:rsidR="00EB55A8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1B299397" w14:textId="77777777" w:rsidR="00EB55A8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250FBC4F" w14:textId="77777777" w:rsidR="00EB55A8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67B7DBDE" w14:textId="77777777" w:rsidR="00EB55A8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5D7491A4" w14:textId="1AAB4AD9" w:rsidR="00EB55A8" w:rsidRPr="00782BA9" w:rsidRDefault="00EB55A8" w:rsidP="00A4122F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2416" w:type="dxa"/>
          </w:tcPr>
          <w:p w14:paraId="0FA0730C" w14:textId="77777777" w:rsidR="00392C9E" w:rsidRDefault="00D65075" w:rsidP="00D65075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82BA9">
              <w:rPr>
                <w:rFonts w:ascii="Arial" w:hAnsi="Arial" w:cs="Arial"/>
                <w:color w:val="333333"/>
                <w:shd w:val="clear" w:color="auto" w:fill="FFFFFF"/>
              </w:rPr>
              <w:t>CO</w:t>
            </w:r>
            <w:r w:rsidRPr="008E683B">
              <w:rPr>
                <w:rFonts w:ascii="Arial" w:hAnsi="Arial" w:cs="Arial"/>
                <w:color w:val="333333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333333"/>
                <w:shd w:val="clear" w:color="auto" w:fill="FFFFFF"/>
                <w:vertAlign w:val="subscript"/>
              </w:rPr>
              <w:t xml:space="preserve"> </w:t>
            </w:r>
            <w:r w:rsidRPr="00D65075">
              <w:rPr>
                <w:rFonts w:ascii="Arial" w:hAnsi="Arial" w:cs="Arial"/>
                <w:color w:val="333333"/>
                <w:shd w:val="clear" w:color="auto" w:fill="FFFFFF"/>
              </w:rPr>
              <w:t>yakalama ve depolama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faaliyetlerini</w:t>
            </w:r>
          </w:p>
          <w:p w14:paraId="5C042D86" w14:textId="2195EAF8" w:rsidR="00D65075" w:rsidRPr="00782BA9" w:rsidRDefault="00D65075" w:rsidP="00D65075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uygun hale getiren diğer iş modellerinin ve beklenen gelir akışlarını</w:t>
            </w:r>
            <w:r w:rsidR="00D963F9">
              <w:rPr>
                <w:rFonts w:ascii="Arial" w:hAnsi="Arial" w:cs="Arial"/>
                <w:color w:val="333333"/>
                <w:shd w:val="clear" w:color="auto" w:fill="FFFFFF"/>
              </w:rPr>
              <w:t>n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araç olarak kullanıldığı teknolojiler </w:t>
            </w:r>
          </w:p>
        </w:tc>
      </w:tr>
    </w:tbl>
    <w:p w14:paraId="09B169B7" w14:textId="2CE48AEE" w:rsidR="00D963F9" w:rsidRDefault="008E683B" w:rsidP="008E6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 çağrı kapsamında ülkemizin endüstri ve üniversitelerinden araştırmacıların çağrı ortağı </w:t>
      </w:r>
      <w:r w:rsidR="00190ED6" w:rsidRPr="008E683B">
        <w:rPr>
          <w:rFonts w:ascii="Arial" w:hAnsi="Arial" w:cs="Arial"/>
        </w:rPr>
        <w:t>ülkelerden ara</w:t>
      </w:r>
      <w:r w:rsidR="00E61849" w:rsidRPr="008E683B">
        <w:rPr>
          <w:rFonts w:ascii="Arial" w:hAnsi="Arial" w:cs="Arial"/>
        </w:rPr>
        <w:t>ştırmacılarla birlikte konsorsiyum oluşturdukları büyük ölçekli proje önerileri beklenmektedir.</w:t>
      </w:r>
      <w:r>
        <w:rPr>
          <w:rFonts w:ascii="Arial" w:hAnsi="Arial" w:cs="Arial"/>
        </w:rPr>
        <w:t xml:space="preserve"> </w:t>
      </w:r>
      <w:r w:rsidR="00D963F9">
        <w:rPr>
          <w:rFonts w:ascii="Arial" w:hAnsi="Arial" w:cs="Arial"/>
        </w:rPr>
        <w:t xml:space="preserve">Projeyi sunan konsorsiyumun </w:t>
      </w:r>
      <w:r w:rsidR="000D0867">
        <w:rPr>
          <w:rFonts w:ascii="Arial" w:hAnsi="Arial" w:cs="Arial"/>
        </w:rPr>
        <w:t>en az üç başvuru sahibi kişiden oluşması ve konsorsiyumu oluşturan başvuru sahiplerinin en az iki farklı ülkeden olması  gerekmektedir.</w:t>
      </w:r>
    </w:p>
    <w:p w14:paraId="02C9838B" w14:textId="54F84C4D" w:rsidR="00233D53" w:rsidRPr="00D50766" w:rsidRDefault="00313A0A" w:rsidP="008E683B">
      <w:pPr>
        <w:jc w:val="both"/>
        <w:rPr>
          <w:rFonts w:ascii="Arial" w:hAnsi="Arial" w:cs="Arial"/>
          <w:b/>
          <w:color w:val="FF0000"/>
        </w:rPr>
      </w:pPr>
      <w:r w:rsidRPr="008E683B">
        <w:rPr>
          <w:rFonts w:ascii="Arial" w:hAnsi="Arial" w:cs="Arial"/>
        </w:rPr>
        <w:lastRenderedPageBreak/>
        <w:t xml:space="preserve">İki aşamalı başvuru ve değerlendirme yapılacaktır. İlk aşamada </w:t>
      </w:r>
      <w:r w:rsidRPr="008E683B">
        <w:rPr>
          <w:rFonts w:ascii="Arial" w:hAnsi="Arial" w:cs="Arial"/>
          <w:b/>
          <w:bCs/>
        </w:rPr>
        <w:t>ön öneriler (</w:t>
      </w:r>
      <w:r w:rsidRPr="008E683B">
        <w:rPr>
          <w:rFonts w:ascii="Arial" w:hAnsi="Arial" w:cs="Arial"/>
          <w:b/>
          <w:bCs/>
          <w:i/>
          <w:iCs/>
        </w:rPr>
        <w:t>pre-proposal</w:t>
      </w:r>
      <w:r w:rsidRPr="008E683B">
        <w:rPr>
          <w:rFonts w:ascii="Arial" w:hAnsi="Arial" w:cs="Arial"/>
          <w:b/>
          <w:bCs/>
        </w:rPr>
        <w:t xml:space="preserve">) </w:t>
      </w:r>
      <w:r w:rsidRPr="008E683B">
        <w:rPr>
          <w:rFonts w:ascii="Arial" w:hAnsi="Arial" w:cs="Arial"/>
        </w:rPr>
        <w:t>talep edilecek</w:t>
      </w:r>
      <w:r w:rsidR="00190ED6" w:rsidRPr="008E683B">
        <w:rPr>
          <w:rFonts w:ascii="Arial" w:hAnsi="Arial" w:cs="Arial"/>
        </w:rPr>
        <w:t>tir</w:t>
      </w:r>
      <w:r w:rsidRPr="008E683B">
        <w:rPr>
          <w:rFonts w:ascii="Arial" w:hAnsi="Arial" w:cs="Arial"/>
        </w:rPr>
        <w:t xml:space="preserve">. Her ülke kendi ulusal kurallarına göre </w:t>
      </w:r>
      <w:r w:rsidR="00233D53">
        <w:rPr>
          <w:rFonts w:ascii="Arial" w:hAnsi="Arial" w:cs="Arial"/>
        </w:rPr>
        <w:t xml:space="preserve">ön </w:t>
      </w:r>
      <w:r w:rsidRPr="008E683B">
        <w:rPr>
          <w:rFonts w:ascii="Arial" w:hAnsi="Arial" w:cs="Arial"/>
        </w:rPr>
        <w:t xml:space="preserve">değerlendirme yapacak olup Türkiye’den başvuru yapacak araştırmacıların </w:t>
      </w:r>
      <w:r w:rsidRPr="008E683B">
        <w:rPr>
          <w:rFonts w:ascii="Arial" w:hAnsi="Arial" w:cs="Arial"/>
          <w:b/>
          <w:bCs/>
        </w:rPr>
        <w:t xml:space="preserve">“1001-Bilimsel ve Teknolojik Araştırma Projelerini Destekleme Programı” </w:t>
      </w:r>
      <w:r w:rsidRPr="008E683B">
        <w:rPr>
          <w:rFonts w:ascii="Arial" w:hAnsi="Arial" w:cs="Arial"/>
        </w:rPr>
        <w:t>kuralları</w:t>
      </w:r>
      <w:r w:rsidR="00233D53">
        <w:rPr>
          <w:rFonts w:ascii="Arial" w:hAnsi="Arial" w:cs="Arial"/>
        </w:rPr>
        <w:t xml:space="preserve">na uymaları (proje ekibi, süre </w:t>
      </w:r>
      <w:r w:rsidRPr="008E683B">
        <w:rPr>
          <w:rFonts w:ascii="Arial" w:hAnsi="Arial" w:cs="Arial"/>
        </w:rPr>
        <w:t xml:space="preserve">vb. hususlar) önem arz etmektedir. </w:t>
      </w:r>
      <w:r w:rsidR="00233D53">
        <w:rPr>
          <w:rFonts w:ascii="Arial" w:hAnsi="Arial" w:cs="Arial"/>
        </w:rPr>
        <w:t xml:space="preserve"> </w:t>
      </w:r>
      <w:r w:rsidR="00D50766">
        <w:rPr>
          <w:rFonts w:ascii="Arial" w:hAnsi="Arial" w:cs="Arial"/>
          <w:b/>
          <w:color w:val="FF0000"/>
        </w:rPr>
        <w:t>Ancak;</w:t>
      </w:r>
      <w:r w:rsidR="00233D53" w:rsidRPr="00D50766">
        <w:rPr>
          <w:rFonts w:ascii="Arial" w:hAnsi="Arial" w:cs="Arial"/>
          <w:b/>
          <w:color w:val="FF0000"/>
        </w:rPr>
        <w:t xml:space="preserve"> </w:t>
      </w:r>
      <w:r w:rsidR="00D50766" w:rsidRPr="00D50766">
        <w:rPr>
          <w:rFonts w:ascii="Arial" w:hAnsi="Arial" w:cs="Arial"/>
          <w:b/>
          <w:color w:val="FF0000"/>
        </w:rPr>
        <w:t>1001 Destek Programından farklı olarak</w:t>
      </w:r>
      <w:r w:rsidR="00D50766">
        <w:rPr>
          <w:rFonts w:ascii="Arial" w:hAnsi="Arial" w:cs="Arial"/>
          <w:b/>
          <w:color w:val="FF0000"/>
        </w:rPr>
        <w:t>,</w:t>
      </w:r>
      <w:r w:rsidR="00D50766" w:rsidRPr="00D50766">
        <w:rPr>
          <w:rFonts w:ascii="Arial" w:hAnsi="Arial" w:cs="Arial"/>
          <w:b/>
          <w:color w:val="FF0000"/>
        </w:rPr>
        <w:t xml:space="preserve"> </w:t>
      </w:r>
      <w:r w:rsidR="00233D53" w:rsidRPr="00D50766">
        <w:rPr>
          <w:rFonts w:ascii="Arial" w:hAnsi="Arial" w:cs="Arial"/>
          <w:b/>
          <w:color w:val="FF0000"/>
        </w:rPr>
        <w:t>TÜBİTAK tarafından bir proje için verilebilecek maksimum bütçe 1001-Bilimsel ve Teknolojik Araştırma Projelerini Destekleme Programı” kapsamında verilen 360.000 TL nin (</w:t>
      </w:r>
      <w:r w:rsidR="00D50766">
        <w:rPr>
          <w:rFonts w:ascii="Arial" w:hAnsi="Arial" w:cs="Arial"/>
          <w:b/>
          <w:color w:val="FF0000"/>
        </w:rPr>
        <w:t xml:space="preserve">yaklaşık </w:t>
      </w:r>
      <w:r w:rsidR="00233D53" w:rsidRPr="00D50766">
        <w:rPr>
          <w:rFonts w:ascii="Arial" w:hAnsi="Arial" w:cs="Arial"/>
          <w:b/>
          <w:color w:val="FF0000"/>
        </w:rPr>
        <w:t>110.000 avro) üç katı 1.080.000 TL (</w:t>
      </w:r>
      <w:r w:rsidR="00D50766">
        <w:rPr>
          <w:rFonts w:ascii="Arial" w:hAnsi="Arial" w:cs="Arial"/>
          <w:b/>
          <w:color w:val="FF0000"/>
        </w:rPr>
        <w:t xml:space="preserve">yaklaşık </w:t>
      </w:r>
      <w:r w:rsidR="00233D53" w:rsidRPr="00D50766">
        <w:rPr>
          <w:rFonts w:ascii="Arial" w:hAnsi="Arial" w:cs="Arial"/>
          <w:b/>
          <w:color w:val="FF0000"/>
        </w:rPr>
        <w:t>330.000 avro) olabilecektir.</w:t>
      </w:r>
      <w:r w:rsidR="00D50766">
        <w:rPr>
          <w:rFonts w:ascii="Arial" w:hAnsi="Arial" w:cs="Arial"/>
          <w:b/>
          <w:color w:val="FF0000"/>
        </w:rPr>
        <w:t xml:space="preserve"> (PTİ ve k</w:t>
      </w:r>
      <w:r w:rsidR="00233D53" w:rsidRPr="00D50766">
        <w:rPr>
          <w:rFonts w:ascii="Arial" w:hAnsi="Arial" w:cs="Arial"/>
          <w:b/>
          <w:color w:val="FF0000"/>
        </w:rPr>
        <w:t>urum hissesi hariç</w:t>
      </w:r>
      <w:r w:rsidR="00D50766">
        <w:rPr>
          <w:rFonts w:ascii="Arial" w:hAnsi="Arial" w:cs="Arial"/>
          <w:b/>
          <w:color w:val="FF0000"/>
        </w:rPr>
        <w:t>tir.</w:t>
      </w:r>
      <w:r w:rsidR="00233D53" w:rsidRPr="00D50766">
        <w:rPr>
          <w:rFonts w:ascii="Arial" w:hAnsi="Arial" w:cs="Arial"/>
          <w:b/>
          <w:color w:val="FF0000"/>
        </w:rPr>
        <w:t xml:space="preserve">) </w:t>
      </w:r>
    </w:p>
    <w:p w14:paraId="5FAE1685" w14:textId="3353F5C8" w:rsidR="00313A0A" w:rsidRDefault="00233D53" w:rsidP="008E6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Ön </w:t>
      </w:r>
      <w:r w:rsidR="00313A0A" w:rsidRPr="008E683B">
        <w:rPr>
          <w:rFonts w:ascii="Arial" w:hAnsi="Arial" w:cs="Arial"/>
        </w:rPr>
        <w:t xml:space="preserve">değerlendirme aşamasını geçen proje önerileri konu ve kapsam açısından uluslararası bağımsız hakemlerden oluşan panellerde değerlendirilecek ve uygun olan adaylardan ikinci aşama için </w:t>
      </w:r>
      <w:r w:rsidR="00313A0A" w:rsidRPr="008E683B">
        <w:rPr>
          <w:rFonts w:ascii="Arial" w:hAnsi="Arial" w:cs="Arial"/>
          <w:b/>
          <w:bCs/>
        </w:rPr>
        <w:t>tam öneriler (</w:t>
      </w:r>
      <w:r w:rsidR="00313A0A" w:rsidRPr="008E683B">
        <w:rPr>
          <w:rFonts w:ascii="Arial" w:hAnsi="Arial" w:cs="Arial"/>
          <w:b/>
          <w:bCs/>
          <w:i/>
          <w:iCs/>
        </w:rPr>
        <w:t>full proposal</w:t>
      </w:r>
      <w:r w:rsidR="00313A0A" w:rsidRPr="008E683B">
        <w:rPr>
          <w:rFonts w:ascii="Arial" w:hAnsi="Arial" w:cs="Arial"/>
          <w:b/>
          <w:bCs/>
        </w:rPr>
        <w:t xml:space="preserve">) </w:t>
      </w:r>
      <w:r w:rsidR="00313A0A" w:rsidRPr="008E683B">
        <w:rPr>
          <w:rFonts w:ascii="Arial" w:hAnsi="Arial" w:cs="Arial"/>
        </w:rPr>
        <w:t xml:space="preserve">istenecektir. Tam öneriler de uluslararası bağımsız hakemlerden oluşan panellerde bilimsel değerlendirmeye alınacaktır. Panel değerlendirmesinde başarılı bulunan proje önerileri, Ortak Çağrı Sekreteryası tarafından ilgili fonlayıcı kuruluşlara bildirilecektir. </w:t>
      </w:r>
    </w:p>
    <w:p w14:paraId="5873701F" w14:textId="4833AC1D" w:rsidR="00F05ABC" w:rsidRPr="00F05ABC" w:rsidRDefault="00F05ABC" w:rsidP="008E683B">
      <w:pPr>
        <w:jc w:val="both"/>
        <w:rPr>
          <w:rFonts w:ascii="Arial" w:hAnsi="Arial" w:cs="Arial"/>
          <w:b/>
        </w:rPr>
      </w:pPr>
      <w:r w:rsidRPr="00F05ABC">
        <w:rPr>
          <w:rFonts w:ascii="Arial" w:hAnsi="Arial" w:cs="Arial"/>
          <w:b/>
        </w:rPr>
        <w:t>İletişim:</w:t>
      </w:r>
    </w:p>
    <w:p w14:paraId="5FA1407C" w14:textId="28B62627" w:rsidR="00F05ABC" w:rsidRPr="00D50766" w:rsidRDefault="00F05ABC" w:rsidP="008E683B">
      <w:pPr>
        <w:jc w:val="both"/>
        <w:rPr>
          <w:rFonts w:ascii="Arial" w:hAnsi="Arial" w:cs="Arial"/>
          <w:b/>
        </w:rPr>
      </w:pPr>
      <w:r w:rsidRPr="00D50766">
        <w:rPr>
          <w:rFonts w:ascii="Arial" w:hAnsi="Arial" w:cs="Arial"/>
          <w:b/>
        </w:rPr>
        <w:t>Dr. Mehmet Ufuk Atay</w:t>
      </w:r>
    </w:p>
    <w:p w14:paraId="015EB0ED" w14:textId="7E8455DE" w:rsidR="00F05ABC" w:rsidRDefault="00F05ABC" w:rsidP="008E6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Mühendislik Araştırma Destek Grubu</w:t>
      </w:r>
    </w:p>
    <w:p w14:paraId="6EE26688" w14:textId="24AE2549" w:rsidR="00F05ABC" w:rsidRDefault="00D50766" w:rsidP="008E6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03124685300/1237</w:t>
      </w:r>
    </w:p>
    <w:p w14:paraId="7397AE33" w14:textId="09E434B6" w:rsidR="00156195" w:rsidRPr="00D50766" w:rsidRDefault="00F05ABC" w:rsidP="00A41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ufuk.atay@tubitak.gov.tr</w:t>
      </w:r>
    </w:p>
    <w:p w14:paraId="4717B062" w14:textId="24DA7A8C" w:rsidR="00F067BE" w:rsidRPr="00D50766" w:rsidRDefault="00F05ABC" w:rsidP="00A4122F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D50766">
        <w:rPr>
          <w:rFonts w:ascii="Arial" w:hAnsi="Arial" w:cs="Arial"/>
          <w:b/>
          <w:color w:val="333333"/>
          <w:shd w:val="clear" w:color="auto" w:fill="FFFFFF"/>
        </w:rPr>
        <w:t>Salih Hacıalioğlu</w:t>
      </w:r>
    </w:p>
    <w:p w14:paraId="39F35BD3" w14:textId="77777777" w:rsidR="00F05ABC" w:rsidRDefault="00F05ABC" w:rsidP="00F05A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Mühendislik Araştırma Destek Grubu</w:t>
      </w:r>
    </w:p>
    <w:p w14:paraId="48168D30" w14:textId="3C88A928" w:rsidR="00F05ABC" w:rsidRDefault="00F05ABC" w:rsidP="00F05A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03124685300/</w:t>
      </w:r>
      <w:r w:rsidR="00D50766">
        <w:rPr>
          <w:rFonts w:ascii="Arial" w:hAnsi="Arial" w:cs="Arial"/>
        </w:rPr>
        <w:t>1242</w:t>
      </w:r>
    </w:p>
    <w:p w14:paraId="6C9C0EDE" w14:textId="3E380CA7" w:rsidR="00F05ABC" w:rsidRPr="00782BA9" w:rsidRDefault="00D50766" w:rsidP="00A4122F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>s</w:t>
      </w:r>
      <w:r w:rsidR="00F05ABC">
        <w:rPr>
          <w:rFonts w:ascii="Arial" w:hAnsi="Arial" w:cs="Arial"/>
        </w:rPr>
        <w:t>alih.hacialioglu@tubitak.gov.tr</w:t>
      </w:r>
    </w:p>
    <w:sectPr w:rsidR="00F05ABC" w:rsidRPr="00782BA9" w:rsidSect="00EB55A8">
      <w:pgSz w:w="11906" w:h="16838"/>
      <w:pgMar w:top="1417" w:right="1417" w:bottom="1417" w:left="1417" w:header="708" w:footer="708" w:gutter="0"/>
      <w:cols w:num="2" w:space="3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BE"/>
    <w:rsid w:val="00096CA3"/>
    <w:rsid w:val="000D0867"/>
    <w:rsid w:val="001159E0"/>
    <w:rsid w:val="00156195"/>
    <w:rsid w:val="00190ED6"/>
    <w:rsid w:val="001D24F5"/>
    <w:rsid w:val="001E6F9E"/>
    <w:rsid w:val="00233D53"/>
    <w:rsid w:val="00313A0A"/>
    <w:rsid w:val="00392C9E"/>
    <w:rsid w:val="004171E8"/>
    <w:rsid w:val="004C12FC"/>
    <w:rsid w:val="0058548E"/>
    <w:rsid w:val="005A7977"/>
    <w:rsid w:val="005C092D"/>
    <w:rsid w:val="005F1F0A"/>
    <w:rsid w:val="00644BC0"/>
    <w:rsid w:val="00653358"/>
    <w:rsid w:val="006603DC"/>
    <w:rsid w:val="00782BA9"/>
    <w:rsid w:val="008E683B"/>
    <w:rsid w:val="0090604D"/>
    <w:rsid w:val="00913BA3"/>
    <w:rsid w:val="0097202B"/>
    <w:rsid w:val="00992C0A"/>
    <w:rsid w:val="00A4122F"/>
    <w:rsid w:val="00A814CB"/>
    <w:rsid w:val="00AC289B"/>
    <w:rsid w:val="00B5250A"/>
    <w:rsid w:val="00B80821"/>
    <w:rsid w:val="00BC0906"/>
    <w:rsid w:val="00C23EE8"/>
    <w:rsid w:val="00C73238"/>
    <w:rsid w:val="00C958C8"/>
    <w:rsid w:val="00CB7B9D"/>
    <w:rsid w:val="00CD50E2"/>
    <w:rsid w:val="00D45B7A"/>
    <w:rsid w:val="00D50766"/>
    <w:rsid w:val="00D65075"/>
    <w:rsid w:val="00D963F9"/>
    <w:rsid w:val="00DD1007"/>
    <w:rsid w:val="00E414CE"/>
    <w:rsid w:val="00E61849"/>
    <w:rsid w:val="00EB55A8"/>
    <w:rsid w:val="00F05ABC"/>
    <w:rsid w:val="00F067BE"/>
    <w:rsid w:val="00F76801"/>
    <w:rsid w:val="00F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72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19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D100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3A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92D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5854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19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D100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3A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92D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585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-ccs.e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nv.intern\app\AgNL\BAS%20-%20I-schijf%20op%20Fil08\_lopende%20BASprogrammas\6251\ERANET%20Cofund%20CCS%20en%20ROAD\ACT\communicatie\Indicative%20available%20budg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7460714691597801E-2"/>
                  <c:y val="3.8166532333064669E-2"/>
                </c:manualLayout>
              </c:layout>
              <c:tx>
                <c:rich>
                  <a:bodyPr/>
                  <a:lstStyle/>
                  <a:p>
                    <a:r>
                      <a:rPr lang="tr-TR"/>
                      <a:t>Alman</a:t>
                    </a:r>
                    <a:r>
                      <a:rPr lang="en-US"/>
                      <a:t>y</a:t>
                    </a:r>
                    <a:r>
                      <a:rPr lang="tr-TR"/>
                      <a:t>a</a:t>
                    </a:r>
                    <a:r>
                      <a:rPr lang="en-US"/>
                      <a:t>
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1.3733626733383004E-2"/>
                  <c:y val="-6.5293570587141173E-3"/>
                </c:manualLayout>
              </c:layout>
              <c:tx>
                <c:rich>
                  <a:bodyPr/>
                  <a:lstStyle/>
                  <a:p>
                    <a:r>
                      <a:rPr lang="tr-TR"/>
                      <a:t>Hollanda</a:t>
                    </a:r>
                    <a:r>
                      <a:rPr lang="en-US"/>
                      <a:t>
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401504172895862E-2"/>
                  <c:y val="-2.658267716535433E-2"/>
                </c:manualLayout>
              </c:layout>
              <c:tx>
                <c:rich>
                  <a:bodyPr/>
                  <a:lstStyle/>
                  <a:p>
                    <a:r>
                      <a:rPr lang="tr-TR"/>
                      <a:t>Norveç</a:t>
                    </a:r>
                    <a:r>
                      <a:rPr lang="en-US"/>
                      <a:t>
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tr-TR"/>
                      <a:t>Romanya</a:t>
                    </a:r>
                    <a:r>
                      <a:rPr lang="en-US"/>
                      <a:t>
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1485503246125747"/>
                  <c:y val="1.8027900055800111E-2"/>
                </c:manualLayout>
              </c:layout>
              <c:tx>
                <c:rich>
                  <a:bodyPr/>
                  <a:lstStyle/>
                  <a:p>
                    <a:r>
                      <a:rPr lang="tr-TR"/>
                      <a:t>İspanya</a:t>
                    </a:r>
                    <a:r>
                      <a:rPr lang="en-US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tr-TR"/>
                      <a:t>İsviçre</a:t>
                    </a:r>
                    <a:r>
                      <a:rPr lang="en-US"/>
                      <a:t>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tr-TR"/>
                      <a:t>Türkiye</a:t>
                    </a:r>
                    <a:r>
                      <a:rPr lang="en-US"/>
                      <a:t>
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69342402903818E-2"/>
                  <c:y val="1.7458738917477835E-2"/>
                </c:manualLayout>
              </c:layout>
              <c:tx>
                <c:rich>
                  <a:bodyPr/>
                  <a:lstStyle/>
                  <a:p>
                    <a:r>
                      <a:rPr lang="tr-TR"/>
                      <a:t>Birleşik</a:t>
                    </a:r>
                    <a:r>
                      <a:rPr lang="tr-TR" baseline="0"/>
                      <a:t> Krallık</a:t>
                    </a:r>
                    <a:r>
                      <a:rPr lang="en-US"/>
                      <a:t>
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Blad1!$A$7:$A$15</c:f>
              <c:strCache>
                <c:ptCount val="9"/>
                <c:pt idx="0">
                  <c:v>Germany</c:v>
                </c:pt>
                <c:pt idx="1">
                  <c:v>Greece</c:v>
                </c:pt>
                <c:pt idx="2">
                  <c:v>Netherlands</c:v>
                </c:pt>
                <c:pt idx="3">
                  <c:v>Norway</c:v>
                </c:pt>
                <c:pt idx="4">
                  <c:v>Romania</c:v>
                </c:pt>
                <c:pt idx="5">
                  <c:v>Spain</c:v>
                </c:pt>
                <c:pt idx="6">
                  <c:v>Switzerland</c:v>
                </c:pt>
                <c:pt idx="7">
                  <c:v>Turkey</c:v>
                </c:pt>
                <c:pt idx="8">
                  <c:v>United Kingdom</c:v>
                </c:pt>
              </c:strCache>
            </c:strRef>
          </c:cat>
          <c:val>
            <c:numRef>
              <c:f>Blad1!$B$7:$B$15</c:f>
              <c:numCache>
                <c:formatCode>General</c:formatCode>
                <c:ptCount val="9"/>
                <c:pt idx="0">
                  <c:v>9</c:v>
                </c:pt>
                <c:pt idx="1">
                  <c:v>0</c:v>
                </c:pt>
                <c:pt idx="2">
                  <c:v>6</c:v>
                </c:pt>
                <c:pt idx="3">
                  <c:v>9</c:v>
                </c:pt>
                <c:pt idx="4">
                  <c:v>1.5</c:v>
                </c:pt>
                <c:pt idx="5">
                  <c:v>0.45</c:v>
                </c:pt>
                <c:pt idx="6">
                  <c:v>4</c:v>
                </c:pt>
                <c:pt idx="7">
                  <c:v>3</c:v>
                </c:pt>
                <c:pt idx="8">
                  <c:v>8.25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Ufuk Atay</dc:creator>
  <cp:keywords/>
  <cp:lastModifiedBy>Fatih Sinan Esen</cp:lastModifiedBy>
  <cp:revision>8</cp:revision>
  <dcterms:created xsi:type="dcterms:W3CDTF">2016-05-12T14:39:00Z</dcterms:created>
  <dcterms:modified xsi:type="dcterms:W3CDTF">2016-05-16T14:20:00Z</dcterms:modified>
</cp:coreProperties>
</file>