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E0" w:rsidRPr="00C762E0" w:rsidRDefault="00C762E0" w:rsidP="00C762E0">
      <w:pPr>
        <w:keepNext/>
        <w:keepLines/>
        <w:tabs>
          <w:tab w:val="left" w:pos="567"/>
        </w:tabs>
        <w:snapToGrid w:val="0"/>
        <w:spacing w:after="240" w:line="240" w:lineRule="auto"/>
        <w:ind w:left="567" w:hanging="567"/>
        <w:outlineLvl w:val="2"/>
        <w:rPr>
          <w:rFonts w:ascii="Times New Roman" w:eastAsia="Times New Roman" w:hAnsi="Times New Roman" w:cs="Times New Roman"/>
          <w:b/>
          <w:bCs/>
          <w:noProof/>
          <w:snapToGrid w:val="0"/>
          <w:sz w:val="24"/>
          <w:szCs w:val="24"/>
          <w:lang w:val="en-US" w:eastAsia="en-US"/>
        </w:rPr>
      </w:pPr>
      <w:r>
        <w:rPr>
          <w:rFonts w:ascii="Times New Roman" w:eastAsia="Times New Roman" w:hAnsi="Times New Roman" w:cs="Times New Roman"/>
          <w:b/>
          <w:bCs/>
          <w:noProof/>
          <w:snapToGrid w:val="0"/>
          <w:sz w:val="24"/>
          <w:szCs w:val="24"/>
          <w:lang w:val="en-US" w:eastAsia="en-US"/>
        </w:rPr>
        <w:t>APPENDIX 2</w:t>
      </w:r>
      <w:r w:rsidRPr="00C762E0">
        <w:rPr>
          <w:rFonts w:ascii="Times New Roman" w:eastAsia="Times New Roman" w:hAnsi="Times New Roman" w:cs="Times New Roman"/>
          <w:b/>
          <w:bCs/>
          <w:noProof/>
          <w:snapToGrid w:val="0"/>
          <w:sz w:val="24"/>
          <w:szCs w:val="24"/>
          <w:lang w:val="en-US" w:eastAsia="en-US"/>
        </w:rPr>
        <w:t xml:space="preserve">: TERMS OF REFERENCE FOR THE EXECUTIVE PLANNING GROUP </w:t>
      </w:r>
    </w:p>
    <w:p w:rsidR="00C762E0" w:rsidRPr="00C762E0" w:rsidRDefault="00C762E0" w:rsidP="00C762E0">
      <w:pPr>
        <w:numPr>
          <w:ilvl w:val="0"/>
          <w:numId w:val="1"/>
        </w:numPr>
        <w:tabs>
          <w:tab w:val="left" w:pos="567"/>
        </w:tabs>
        <w:snapToGrid w:val="0"/>
        <w:spacing w:after="240" w:line="240" w:lineRule="auto"/>
        <w:ind w:left="357" w:hanging="357"/>
        <w:rPr>
          <w:rFonts w:ascii="Arial" w:eastAsia="Malgun Gothic" w:hAnsi="Arial" w:cs="Arial"/>
          <w:b/>
          <w:lang w:val="en-US"/>
        </w:rPr>
      </w:pPr>
      <w:r w:rsidRPr="00C762E0">
        <w:rPr>
          <w:rFonts w:ascii="Arial" w:eastAsia="Malgun Gothic" w:hAnsi="Arial" w:cs="Arial"/>
          <w:b/>
          <w:lang w:val="en-US"/>
        </w:rPr>
        <w:t>Purpose</w:t>
      </w:r>
    </w:p>
    <w:p w:rsidR="00C762E0" w:rsidRPr="00C762E0" w:rsidRDefault="00C762E0" w:rsidP="00C762E0">
      <w:pPr>
        <w:tabs>
          <w:tab w:val="left" w:pos="2940"/>
        </w:tabs>
        <w:spacing w:after="240" w:line="240" w:lineRule="auto"/>
        <w:ind w:left="-5"/>
        <w:jc w:val="both"/>
        <w:rPr>
          <w:rFonts w:ascii="Calibri" w:eastAsia="Malgun Gothic" w:hAnsi="Calibri" w:cs="Arial"/>
          <w:lang w:val="en-US"/>
        </w:rPr>
      </w:pPr>
      <w:r w:rsidRPr="00C762E0">
        <w:rPr>
          <w:rFonts w:ascii="Arial" w:eastAsia="Malgun Gothic" w:hAnsi="Arial" w:cs="Arial"/>
          <w:lang w:val="en-US"/>
        </w:rPr>
        <w:t xml:space="preserve">The overall formulation of the Decade’s Implementation plan </w:t>
      </w:r>
      <w:proofErr w:type="gramStart"/>
      <w:r w:rsidRPr="00C762E0">
        <w:rPr>
          <w:rFonts w:ascii="Arial" w:eastAsia="Malgun Gothic" w:hAnsi="Arial" w:cs="Arial"/>
          <w:lang w:val="en-US"/>
        </w:rPr>
        <w:t>will be supported</w:t>
      </w:r>
      <w:proofErr w:type="gramEnd"/>
      <w:r w:rsidRPr="00C762E0">
        <w:rPr>
          <w:rFonts w:ascii="Arial" w:eastAsia="Malgun Gothic" w:hAnsi="Arial" w:cs="Arial"/>
          <w:lang w:val="en-US"/>
        </w:rPr>
        <w:t xml:space="preserve"> through two interlinked mechanisms, namely an Executive Planning Group (EPG) composed of appointed experts, and a Stakeholder Forum (SF) composed of institutional members representing various interest groups. The purpose of the EPG is to serve as an expert advisory body to the IOC governing bodies to support the development of an Implementation Plan for the Decade and the delivery of other activities needed to establish the Decade. </w:t>
      </w:r>
    </w:p>
    <w:p w:rsidR="00C762E0" w:rsidRPr="00C762E0" w:rsidRDefault="00C762E0" w:rsidP="00C762E0">
      <w:pPr>
        <w:numPr>
          <w:ilvl w:val="0"/>
          <w:numId w:val="1"/>
        </w:numPr>
        <w:tabs>
          <w:tab w:val="left" w:pos="567"/>
        </w:tabs>
        <w:snapToGrid w:val="0"/>
        <w:spacing w:after="240" w:line="240" w:lineRule="auto"/>
        <w:ind w:left="357" w:hanging="357"/>
        <w:rPr>
          <w:rFonts w:ascii="Arial" w:eastAsia="Malgun Gothic" w:hAnsi="Arial" w:cs="Arial"/>
          <w:b/>
          <w:lang w:val="en-US"/>
        </w:rPr>
      </w:pPr>
      <w:r w:rsidRPr="00C762E0">
        <w:rPr>
          <w:rFonts w:ascii="Arial" w:eastAsia="Malgun Gothic" w:hAnsi="Arial" w:cs="Arial"/>
          <w:b/>
          <w:lang w:val="en-US"/>
        </w:rPr>
        <w:t>Functions of the Executive Planning Group</w:t>
      </w:r>
    </w:p>
    <w:p w:rsidR="00C762E0" w:rsidRPr="00C762E0" w:rsidRDefault="00C762E0" w:rsidP="00C762E0">
      <w:pPr>
        <w:tabs>
          <w:tab w:val="left" w:pos="2940"/>
        </w:tabs>
        <w:spacing w:after="120" w:line="240" w:lineRule="auto"/>
        <w:ind w:left="-5"/>
        <w:jc w:val="both"/>
        <w:rPr>
          <w:rFonts w:ascii="Calibri" w:eastAsia="Malgun Gothic" w:hAnsi="Calibri" w:cs="Arial"/>
          <w:lang w:val="en-US"/>
        </w:rPr>
      </w:pPr>
      <w:r w:rsidRPr="00C762E0">
        <w:rPr>
          <w:rFonts w:ascii="Arial" w:eastAsia="Malgun Gothic" w:hAnsi="Arial" w:cs="Arial"/>
          <w:lang w:val="en-US"/>
        </w:rPr>
        <w:t xml:space="preserve">The EPG will meet its objectives through carrying out the following functions, in consultation with the SF: </w:t>
      </w:r>
    </w:p>
    <w:p w:rsidR="00C762E0" w:rsidRPr="00C762E0" w:rsidRDefault="00C762E0" w:rsidP="00C762E0">
      <w:pPr>
        <w:numPr>
          <w:ilvl w:val="0"/>
          <w:numId w:val="2"/>
        </w:numPr>
        <w:tabs>
          <w:tab w:val="left" w:pos="567"/>
        </w:tabs>
        <w:autoSpaceDE w:val="0"/>
        <w:autoSpaceDN w:val="0"/>
        <w:adjustRightInd w:val="0"/>
        <w:snapToGrid w:val="0"/>
        <w:spacing w:after="120" w:line="240" w:lineRule="auto"/>
        <w:jc w:val="both"/>
        <w:rPr>
          <w:rFonts w:ascii="Arial" w:eastAsia="Times New Roman" w:hAnsi="Arial" w:cs="Arial"/>
          <w:color w:val="000000"/>
          <w:lang w:val="en-US" w:eastAsia="fr-FR"/>
        </w:rPr>
      </w:pPr>
      <w:r w:rsidRPr="00C762E0">
        <w:rPr>
          <w:rFonts w:ascii="Arial" w:eastAsia="Times New Roman" w:hAnsi="Arial" w:cs="Arial"/>
          <w:color w:val="000000"/>
          <w:lang w:val="en-US" w:eastAsia="fr-FR"/>
        </w:rPr>
        <w:t xml:space="preserve">Provide recommendations on the form and structure of the Decade; </w:t>
      </w:r>
    </w:p>
    <w:p w:rsidR="00C762E0" w:rsidRPr="00C762E0" w:rsidRDefault="00C762E0" w:rsidP="00C762E0">
      <w:pPr>
        <w:numPr>
          <w:ilvl w:val="0"/>
          <w:numId w:val="2"/>
        </w:numPr>
        <w:tabs>
          <w:tab w:val="left" w:pos="567"/>
        </w:tabs>
        <w:autoSpaceDE w:val="0"/>
        <w:autoSpaceDN w:val="0"/>
        <w:adjustRightInd w:val="0"/>
        <w:snapToGrid w:val="0"/>
        <w:spacing w:after="120" w:line="240" w:lineRule="auto"/>
        <w:jc w:val="both"/>
        <w:rPr>
          <w:rFonts w:ascii="Arial" w:eastAsia="Times New Roman" w:hAnsi="Arial" w:cs="Arial"/>
          <w:color w:val="000000"/>
          <w:sz w:val="24"/>
          <w:szCs w:val="24"/>
          <w:lang w:val="en-US" w:eastAsia="fr-FR"/>
        </w:rPr>
      </w:pPr>
      <w:r w:rsidRPr="00C762E0">
        <w:rPr>
          <w:rFonts w:ascii="Arial" w:eastAsia="Times New Roman" w:hAnsi="Arial" w:cs="Arial"/>
          <w:color w:val="000000"/>
          <w:lang w:val="en-US" w:eastAsia="fr-FR"/>
        </w:rPr>
        <w:t xml:space="preserve">Propose governance arrangements for implementing and for providing oversight of the Decade and its </w:t>
      </w:r>
      <w:proofErr w:type="spellStart"/>
      <w:r w:rsidRPr="00C762E0">
        <w:rPr>
          <w:rFonts w:ascii="Arial" w:eastAsia="Times New Roman" w:hAnsi="Arial" w:cs="Arial"/>
          <w:color w:val="000000"/>
          <w:lang w:val="en-US" w:eastAsia="fr-FR"/>
        </w:rPr>
        <w:t>Programmes</w:t>
      </w:r>
      <w:proofErr w:type="spellEnd"/>
      <w:r w:rsidRPr="00C762E0">
        <w:rPr>
          <w:rFonts w:ascii="Arial" w:eastAsia="Times New Roman" w:hAnsi="Arial" w:cs="Arial"/>
          <w:color w:val="000000"/>
          <w:lang w:val="en-US" w:eastAsia="fr-FR"/>
        </w:rPr>
        <w:t xml:space="preserve"> and Projects; </w:t>
      </w:r>
    </w:p>
    <w:p w:rsidR="00C762E0" w:rsidRPr="00C762E0" w:rsidRDefault="00C762E0" w:rsidP="00C762E0">
      <w:pPr>
        <w:numPr>
          <w:ilvl w:val="0"/>
          <w:numId w:val="2"/>
        </w:numPr>
        <w:tabs>
          <w:tab w:val="left" w:pos="567"/>
        </w:tabs>
        <w:autoSpaceDE w:val="0"/>
        <w:autoSpaceDN w:val="0"/>
        <w:adjustRightInd w:val="0"/>
        <w:snapToGrid w:val="0"/>
        <w:spacing w:after="120" w:line="240" w:lineRule="auto"/>
        <w:jc w:val="both"/>
        <w:rPr>
          <w:rFonts w:ascii="Arial" w:eastAsia="Times New Roman" w:hAnsi="Arial" w:cs="Arial"/>
          <w:color w:val="000000"/>
          <w:sz w:val="24"/>
          <w:szCs w:val="24"/>
          <w:lang w:val="en-US" w:eastAsia="fr-FR"/>
        </w:rPr>
      </w:pPr>
      <w:r w:rsidRPr="00C762E0">
        <w:rPr>
          <w:rFonts w:ascii="Arial" w:eastAsia="Times New Roman" w:hAnsi="Arial" w:cs="Arial"/>
          <w:color w:val="000000"/>
          <w:lang w:val="en-US" w:eastAsia="fr-FR"/>
        </w:rPr>
        <w:t>Engage and consult relevant communities regarding contributions to the objectives of the Decade, with priority given to engaging early career scientists and disadvantaged groups and regions and to the science-policy interface, building on the outputs of regional and global consultations undertaken;</w:t>
      </w:r>
    </w:p>
    <w:p w:rsidR="00C762E0" w:rsidRPr="00C762E0" w:rsidRDefault="00C762E0" w:rsidP="00C762E0">
      <w:pPr>
        <w:numPr>
          <w:ilvl w:val="0"/>
          <w:numId w:val="2"/>
        </w:numPr>
        <w:tabs>
          <w:tab w:val="left" w:pos="567"/>
        </w:tabs>
        <w:autoSpaceDE w:val="0"/>
        <w:autoSpaceDN w:val="0"/>
        <w:adjustRightInd w:val="0"/>
        <w:snapToGrid w:val="0"/>
        <w:spacing w:after="120" w:line="240" w:lineRule="auto"/>
        <w:jc w:val="both"/>
        <w:rPr>
          <w:rFonts w:ascii="Arial" w:eastAsia="Times New Roman" w:hAnsi="Arial" w:cs="Arial"/>
          <w:color w:val="000000"/>
          <w:sz w:val="24"/>
          <w:szCs w:val="24"/>
          <w:lang w:val="en-US" w:eastAsia="fr-FR"/>
        </w:rPr>
      </w:pPr>
      <w:r w:rsidRPr="00C762E0">
        <w:rPr>
          <w:rFonts w:ascii="Arial" w:eastAsia="Times New Roman" w:hAnsi="Arial" w:cs="Arial"/>
          <w:color w:val="000000"/>
          <w:lang w:val="en-US" w:eastAsia="fr-FR"/>
        </w:rPr>
        <w:t>Lead and coordinate communication, including around the intended purpose and expected results of the Decade, to all stakeholders and gather feedback, as appropriate;</w:t>
      </w:r>
    </w:p>
    <w:p w:rsidR="00C762E0" w:rsidRPr="00C762E0" w:rsidRDefault="00C762E0" w:rsidP="00C762E0">
      <w:pPr>
        <w:numPr>
          <w:ilvl w:val="0"/>
          <w:numId w:val="2"/>
        </w:numPr>
        <w:tabs>
          <w:tab w:val="left" w:pos="567"/>
        </w:tabs>
        <w:autoSpaceDE w:val="0"/>
        <w:autoSpaceDN w:val="0"/>
        <w:adjustRightInd w:val="0"/>
        <w:snapToGrid w:val="0"/>
        <w:spacing w:after="120" w:line="240" w:lineRule="auto"/>
        <w:jc w:val="both"/>
        <w:rPr>
          <w:rFonts w:ascii="Arial" w:eastAsia="Times New Roman" w:hAnsi="Arial" w:cs="Arial"/>
          <w:color w:val="000000"/>
          <w:sz w:val="24"/>
          <w:szCs w:val="24"/>
          <w:lang w:val="en-US" w:eastAsia="fr-FR"/>
        </w:rPr>
      </w:pPr>
      <w:r w:rsidRPr="00C762E0">
        <w:rPr>
          <w:rFonts w:ascii="Arial" w:eastAsia="Times New Roman" w:hAnsi="Arial" w:cs="Arial"/>
          <w:color w:val="000000"/>
          <w:lang w:val="en-US" w:eastAsia="fr-FR"/>
        </w:rPr>
        <w:t>Develop a resource mobilization (business plan) for the Decade, including principles for handling the contributions to the Decade;</w:t>
      </w:r>
    </w:p>
    <w:p w:rsidR="00C762E0" w:rsidRPr="00C762E0" w:rsidRDefault="00C762E0" w:rsidP="00C762E0">
      <w:pPr>
        <w:numPr>
          <w:ilvl w:val="0"/>
          <w:numId w:val="2"/>
        </w:numPr>
        <w:tabs>
          <w:tab w:val="left" w:pos="567"/>
        </w:tabs>
        <w:autoSpaceDE w:val="0"/>
        <w:autoSpaceDN w:val="0"/>
        <w:adjustRightInd w:val="0"/>
        <w:snapToGrid w:val="0"/>
        <w:spacing w:after="120" w:line="240" w:lineRule="auto"/>
        <w:jc w:val="both"/>
        <w:rPr>
          <w:rFonts w:ascii="Arial" w:eastAsia="Times New Roman" w:hAnsi="Arial" w:cs="Arial"/>
          <w:color w:val="000000"/>
          <w:sz w:val="24"/>
          <w:szCs w:val="24"/>
          <w:lang w:val="en-US" w:eastAsia="fr-FR"/>
        </w:rPr>
      </w:pPr>
      <w:r w:rsidRPr="00C762E0">
        <w:rPr>
          <w:rFonts w:ascii="Arial" w:eastAsia="Times New Roman" w:hAnsi="Arial" w:cs="Arial"/>
          <w:color w:val="000000"/>
          <w:lang w:val="en-US" w:eastAsia="fr-FR"/>
        </w:rPr>
        <w:t>Develop a high-level description of a Science Plan, aligned and in harmony with the goals of the Decade;</w:t>
      </w:r>
    </w:p>
    <w:p w:rsidR="00C762E0" w:rsidRPr="00C762E0" w:rsidRDefault="00C762E0" w:rsidP="00C762E0">
      <w:pPr>
        <w:numPr>
          <w:ilvl w:val="0"/>
          <w:numId w:val="2"/>
        </w:numPr>
        <w:tabs>
          <w:tab w:val="left" w:pos="567"/>
        </w:tabs>
        <w:autoSpaceDE w:val="0"/>
        <w:autoSpaceDN w:val="0"/>
        <w:adjustRightInd w:val="0"/>
        <w:snapToGrid w:val="0"/>
        <w:spacing w:after="120" w:line="240" w:lineRule="auto"/>
        <w:jc w:val="both"/>
        <w:rPr>
          <w:rFonts w:ascii="Arial" w:eastAsia="Times New Roman" w:hAnsi="Arial" w:cs="Arial"/>
          <w:color w:val="000000"/>
          <w:sz w:val="24"/>
          <w:szCs w:val="24"/>
          <w:lang w:val="en-US" w:eastAsia="fr-FR"/>
        </w:rPr>
      </w:pPr>
      <w:r w:rsidRPr="00C762E0">
        <w:rPr>
          <w:rFonts w:ascii="Arial" w:eastAsia="Times New Roman" w:hAnsi="Arial" w:cs="Arial"/>
          <w:color w:val="000000"/>
          <w:lang w:val="en-US" w:eastAsia="fr-FR"/>
        </w:rPr>
        <w:t>Develop high-level plans for other objectives of the Decade, including potential actions, outputs and outcomes (benefits to be realized);</w:t>
      </w:r>
    </w:p>
    <w:p w:rsidR="00C762E0" w:rsidRPr="00C762E0" w:rsidRDefault="00C762E0" w:rsidP="00C762E0">
      <w:pPr>
        <w:numPr>
          <w:ilvl w:val="0"/>
          <w:numId w:val="2"/>
        </w:numPr>
        <w:tabs>
          <w:tab w:val="left" w:pos="567"/>
        </w:tabs>
        <w:autoSpaceDE w:val="0"/>
        <w:autoSpaceDN w:val="0"/>
        <w:adjustRightInd w:val="0"/>
        <w:snapToGrid w:val="0"/>
        <w:spacing w:after="120" w:line="240" w:lineRule="auto"/>
        <w:jc w:val="both"/>
        <w:rPr>
          <w:rFonts w:ascii="Arial" w:eastAsia="Times New Roman" w:hAnsi="Arial" w:cs="Arial"/>
          <w:color w:val="000000"/>
          <w:lang w:val="en-US" w:eastAsia="fr-FR"/>
        </w:rPr>
      </w:pPr>
      <w:r w:rsidRPr="00C762E0">
        <w:rPr>
          <w:rFonts w:ascii="Arial" w:eastAsia="Times New Roman" w:hAnsi="Arial" w:cs="Arial"/>
          <w:color w:val="000000"/>
          <w:lang w:val="en-US" w:eastAsia="fr-FR"/>
        </w:rPr>
        <w:t xml:space="preserve">Provide a draft Implementation Plan for the Decade of Ocean Science for Sustainable Development to the IOC governing bodies and, based on their decisions and directions, finalize the plan for consideration by the UNGA; </w:t>
      </w:r>
    </w:p>
    <w:p w:rsidR="00C762E0" w:rsidRPr="00C762E0" w:rsidRDefault="00C762E0" w:rsidP="00C762E0">
      <w:pPr>
        <w:numPr>
          <w:ilvl w:val="0"/>
          <w:numId w:val="2"/>
        </w:numPr>
        <w:tabs>
          <w:tab w:val="left" w:pos="567"/>
        </w:tabs>
        <w:autoSpaceDE w:val="0"/>
        <w:autoSpaceDN w:val="0"/>
        <w:adjustRightInd w:val="0"/>
        <w:snapToGrid w:val="0"/>
        <w:spacing w:after="120" w:line="240" w:lineRule="auto"/>
        <w:jc w:val="both"/>
        <w:rPr>
          <w:rFonts w:ascii="Arial" w:eastAsia="Times New Roman" w:hAnsi="Arial" w:cs="Arial"/>
          <w:color w:val="000000"/>
          <w:lang w:val="en-US" w:eastAsia="fr-FR"/>
        </w:rPr>
      </w:pPr>
      <w:r w:rsidRPr="00C762E0">
        <w:rPr>
          <w:rFonts w:ascii="Arial" w:eastAsia="Times New Roman" w:hAnsi="Arial" w:cs="Arial"/>
          <w:color w:val="000000"/>
          <w:lang w:val="en-US" w:eastAsia="fr-FR"/>
        </w:rPr>
        <w:t>Provide regular reports on progress through the Executive Secretary of IOC;</w:t>
      </w:r>
    </w:p>
    <w:p w:rsidR="00C762E0" w:rsidRPr="00C762E0" w:rsidRDefault="00C762E0" w:rsidP="00C762E0">
      <w:pPr>
        <w:numPr>
          <w:ilvl w:val="0"/>
          <w:numId w:val="2"/>
        </w:numPr>
        <w:tabs>
          <w:tab w:val="left" w:pos="567"/>
        </w:tabs>
        <w:autoSpaceDE w:val="0"/>
        <w:autoSpaceDN w:val="0"/>
        <w:adjustRightInd w:val="0"/>
        <w:snapToGrid w:val="0"/>
        <w:spacing w:after="120" w:line="240" w:lineRule="auto"/>
        <w:jc w:val="both"/>
        <w:rPr>
          <w:rFonts w:ascii="Arial" w:eastAsia="Times New Roman" w:hAnsi="Arial" w:cs="Arial"/>
          <w:color w:val="000000"/>
          <w:lang w:val="en-US" w:eastAsia="fr-FR"/>
        </w:rPr>
      </w:pPr>
      <w:r w:rsidRPr="00C762E0">
        <w:rPr>
          <w:rFonts w:ascii="Arial" w:eastAsia="Times New Roman" w:hAnsi="Arial" w:cs="Arial"/>
          <w:color w:val="000000"/>
          <w:lang w:val="en-GB" w:eastAsia="fr-FR"/>
        </w:rPr>
        <w:t>Engage/consult with States and other stakeholders through relevant mechanisms;</w:t>
      </w:r>
    </w:p>
    <w:p w:rsidR="00C762E0" w:rsidRPr="00C762E0" w:rsidRDefault="00C762E0" w:rsidP="00C762E0">
      <w:pPr>
        <w:numPr>
          <w:ilvl w:val="0"/>
          <w:numId w:val="2"/>
        </w:numPr>
        <w:tabs>
          <w:tab w:val="left" w:pos="567"/>
        </w:tabs>
        <w:autoSpaceDE w:val="0"/>
        <w:autoSpaceDN w:val="0"/>
        <w:adjustRightInd w:val="0"/>
        <w:snapToGrid w:val="0"/>
        <w:spacing w:after="15" w:line="240" w:lineRule="auto"/>
        <w:jc w:val="both"/>
        <w:rPr>
          <w:rFonts w:ascii="Arial" w:eastAsia="Times New Roman" w:hAnsi="Arial" w:cs="Arial"/>
          <w:color w:val="000000"/>
          <w:lang w:val="en-US" w:eastAsia="fr-FR"/>
        </w:rPr>
      </w:pPr>
      <w:r w:rsidRPr="00C762E0">
        <w:rPr>
          <w:rFonts w:ascii="Arial" w:eastAsia="Times New Roman" w:hAnsi="Arial" w:cs="Arial"/>
          <w:color w:val="000000"/>
          <w:lang w:val="en-US" w:eastAsia="fr-FR"/>
        </w:rPr>
        <w:t>Any other activity referred by the IOC governing bodies.</w:t>
      </w:r>
    </w:p>
    <w:p w:rsidR="00C762E0" w:rsidRPr="00C762E0" w:rsidRDefault="00C762E0" w:rsidP="00C762E0">
      <w:pPr>
        <w:tabs>
          <w:tab w:val="left" w:pos="567"/>
        </w:tabs>
        <w:snapToGrid w:val="0"/>
        <w:spacing w:after="0" w:line="240" w:lineRule="auto"/>
        <w:jc w:val="both"/>
        <w:rPr>
          <w:rFonts w:ascii="Times New Roman" w:eastAsia="SimSun" w:hAnsi="Times New Roman" w:cs="Times New Roman"/>
          <w:noProof/>
          <w:snapToGrid w:val="0"/>
          <w:sz w:val="24"/>
          <w:szCs w:val="24"/>
          <w:lang w:val="en-US" w:eastAsia="zh-CN"/>
        </w:rPr>
      </w:pPr>
    </w:p>
    <w:p w:rsidR="00C762E0" w:rsidRPr="00C762E0" w:rsidRDefault="00C762E0" w:rsidP="00C762E0">
      <w:pPr>
        <w:numPr>
          <w:ilvl w:val="0"/>
          <w:numId w:val="1"/>
        </w:numPr>
        <w:tabs>
          <w:tab w:val="left" w:pos="567"/>
        </w:tabs>
        <w:snapToGrid w:val="0"/>
        <w:spacing w:after="240" w:line="240" w:lineRule="auto"/>
        <w:ind w:left="357" w:hanging="357"/>
        <w:jc w:val="both"/>
        <w:rPr>
          <w:rFonts w:ascii="Arial" w:eastAsia="Malgun Gothic" w:hAnsi="Arial" w:cs="Arial"/>
          <w:b/>
          <w:lang w:val="en-US"/>
        </w:rPr>
      </w:pPr>
      <w:r w:rsidRPr="00C762E0">
        <w:rPr>
          <w:rFonts w:ascii="Arial" w:eastAsia="Malgun Gothic" w:hAnsi="Arial" w:cs="Arial"/>
          <w:b/>
          <w:lang w:val="en-US"/>
        </w:rPr>
        <w:t>Establishment of an Executive Planning Group</w:t>
      </w:r>
    </w:p>
    <w:p w:rsidR="00C762E0" w:rsidRPr="00C762E0" w:rsidRDefault="00C762E0" w:rsidP="00C762E0">
      <w:pPr>
        <w:tabs>
          <w:tab w:val="left" w:pos="2940"/>
        </w:tabs>
        <w:spacing w:after="240" w:line="240" w:lineRule="auto"/>
        <w:ind w:left="-5"/>
        <w:jc w:val="both"/>
        <w:rPr>
          <w:rFonts w:ascii="Calibri" w:eastAsia="Malgun Gothic" w:hAnsi="Calibri" w:cs="Arial"/>
          <w:lang w:val="en-US"/>
        </w:rPr>
      </w:pPr>
      <w:r w:rsidRPr="00C762E0">
        <w:rPr>
          <w:rFonts w:ascii="Arial" w:eastAsia="Malgun Gothic" w:hAnsi="Arial" w:cs="Arial"/>
          <w:lang w:val="en-US"/>
        </w:rPr>
        <w:t>The core Planning Group will be an expert group composed of 16 to 20 experts. In addition, the IOC Chair and Executive Secretary will serve as ex-officio members.</w:t>
      </w:r>
    </w:p>
    <w:p w:rsidR="00C762E0" w:rsidRPr="00C762E0" w:rsidRDefault="00C762E0" w:rsidP="00C762E0">
      <w:pPr>
        <w:tabs>
          <w:tab w:val="left" w:pos="2940"/>
        </w:tabs>
        <w:spacing w:after="240" w:line="240" w:lineRule="auto"/>
        <w:ind w:left="-5"/>
        <w:jc w:val="both"/>
        <w:rPr>
          <w:rFonts w:ascii="Calibri" w:eastAsia="Malgun Gothic" w:hAnsi="Calibri" w:cs="Arial"/>
          <w:color w:val="000000"/>
          <w:lang w:val="en-US"/>
        </w:rPr>
      </w:pPr>
      <w:r w:rsidRPr="00C762E0">
        <w:rPr>
          <w:rFonts w:ascii="Arial" w:eastAsia="Malgun Gothic" w:hAnsi="Arial" w:cs="Arial"/>
          <w:color w:val="000000"/>
          <w:lang w:val="en-US"/>
        </w:rPr>
        <w:t>The Executive Secretary will coordinate the work of the Planning Group. The Planning Group may appoint leaders to conduct specific tasks as relevant.</w:t>
      </w:r>
    </w:p>
    <w:p w:rsidR="00C762E0" w:rsidRPr="00C762E0" w:rsidRDefault="00C762E0" w:rsidP="00C762E0">
      <w:pPr>
        <w:tabs>
          <w:tab w:val="left" w:pos="2940"/>
        </w:tabs>
        <w:spacing w:after="120" w:line="240" w:lineRule="auto"/>
        <w:ind w:left="-5"/>
        <w:jc w:val="both"/>
        <w:rPr>
          <w:rFonts w:ascii="Calibri" w:eastAsia="Malgun Gothic" w:hAnsi="Calibri" w:cs="Arial"/>
          <w:lang w:val="en-US"/>
        </w:rPr>
      </w:pPr>
      <w:r w:rsidRPr="00C762E0">
        <w:rPr>
          <w:rFonts w:ascii="Arial" w:eastAsia="Malgun Gothic" w:hAnsi="Arial" w:cs="Arial"/>
          <w:lang w:val="en-US"/>
        </w:rPr>
        <w:t xml:space="preserve">Members </w:t>
      </w:r>
      <w:proofErr w:type="gramStart"/>
      <w:r w:rsidRPr="00C762E0">
        <w:rPr>
          <w:rFonts w:ascii="Arial" w:eastAsia="Malgun Gothic" w:hAnsi="Arial" w:cs="Arial"/>
          <w:lang w:val="en-US"/>
        </w:rPr>
        <w:t>will be nominated</w:t>
      </w:r>
      <w:proofErr w:type="gramEnd"/>
      <w:r w:rsidRPr="00C762E0">
        <w:rPr>
          <w:rFonts w:ascii="Arial" w:eastAsia="Malgun Gothic" w:hAnsi="Arial" w:cs="Arial"/>
          <w:lang w:val="en-US"/>
        </w:rPr>
        <w:t xml:space="preserve"> through an open call for nominations. The call </w:t>
      </w:r>
      <w:proofErr w:type="gramStart"/>
      <w:r w:rsidRPr="00C762E0">
        <w:rPr>
          <w:rFonts w:ascii="Arial" w:eastAsia="Malgun Gothic" w:hAnsi="Arial" w:cs="Arial"/>
          <w:lang w:val="en-US"/>
        </w:rPr>
        <w:t>will be circulated</w:t>
      </w:r>
      <w:proofErr w:type="gramEnd"/>
      <w:r w:rsidRPr="00C762E0">
        <w:rPr>
          <w:rFonts w:ascii="Arial" w:eastAsia="Malgun Gothic" w:hAnsi="Arial" w:cs="Arial"/>
          <w:lang w:val="en-US"/>
        </w:rPr>
        <w:t xml:space="preserve"> through the following means:</w:t>
      </w:r>
    </w:p>
    <w:p w:rsidR="00C762E0" w:rsidRPr="00C762E0" w:rsidRDefault="00C762E0" w:rsidP="00C762E0">
      <w:pPr>
        <w:numPr>
          <w:ilvl w:val="0"/>
          <w:numId w:val="3"/>
        </w:numPr>
        <w:tabs>
          <w:tab w:val="left" w:pos="567"/>
        </w:tabs>
        <w:autoSpaceDE w:val="0"/>
        <w:autoSpaceDN w:val="0"/>
        <w:adjustRightInd w:val="0"/>
        <w:snapToGrid w:val="0"/>
        <w:spacing w:after="120" w:line="240" w:lineRule="auto"/>
        <w:jc w:val="both"/>
        <w:rPr>
          <w:rFonts w:ascii="Arial" w:eastAsia="Times New Roman" w:hAnsi="Arial" w:cs="Arial"/>
          <w:color w:val="000000"/>
          <w:lang w:val="en-US" w:eastAsia="fr-FR"/>
        </w:rPr>
      </w:pPr>
      <w:r w:rsidRPr="00C762E0">
        <w:rPr>
          <w:rFonts w:ascii="Arial" w:eastAsia="Times New Roman" w:hAnsi="Arial" w:cs="Arial"/>
          <w:color w:val="000000"/>
          <w:lang w:val="en-US" w:eastAsia="fr-FR"/>
        </w:rPr>
        <w:lastRenderedPageBreak/>
        <w:t>to IOC Member States via Circular Letter</w:t>
      </w:r>
    </w:p>
    <w:p w:rsidR="00C762E0" w:rsidRPr="00C762E0" w:rsidRDefault="00C762E0" w:rsidP="00C762E0">
      <w:pPr>
        <w:numPr>
          <w:ilvl w:val="0"/>
          <w:numId w:val="3"/>
        </w:numPr>
        <w:tabs>
          <w:tab w:val="left" w:pos="567"/>
        </w:tabs>
        <w:autoSpaceDE w:val="0"/>
        <w:autoSpaceDN w:val="0"/>
        <w:adjustRightInd w:val="0"/>
        <w:snapToGrid w:val="0"/>
        <w:spacing w:after="120" w:line="240" w:lineRule="auto"/>
        <w:jc w:val="both"/>
        <w:rPr>
          <w:rFonts w:ascii="Arial" w:eastAsia="Times New Roman" w:hAnsi="Arial" w:cs="Arial"/>
          <w:color w:val="000000"/>
          <w:lang w:eastAsia="fr-FR"/>
        </w:rPr>
      </w:pPr>
      <w:proofErr w:type="gramStart"/>
      <w:r w:rsidRPr="00C762E0">
        <w:rPr>
          <w:rFonts w:ascii="Arial" w:eastAsia="Times New Roman" w:hAnsi="Arial" w:cs="Arial"/>
          <w:color w:val="000000"/>
          <w:lang w:eastAsia="fr-FR"/>
        </w:rPr>
        <w:t>to</w:t>
      </w:r>
      <w:proofErr w:type="gramEnd"/>
      <w:r w:rsidRPr="00C762E0">
        <w:rPr>
          <w:rFonts w:ascii="Arial" w:eastAsia="Times New Roman" w:hAnsi="Arial" w:cs="Arial"/>
          <w:color w:val="000000"/>
          <w:lang w:eastAsia="fr-FR"/>
        </w:rPr>
        <w:t xml:space="preserve"> relevant UN bodies via UN-</w:t>
      </w:r>
      <w:proofErr w:type="spellStart"/>
      <w:r w:rsidRPr="00C762E0">
        <w:rPr>
          <w:rFonts w:ascii="Arial" w:eastAsia="Times New Roman" w:hAnsi="Arial" w:cs="Arial"/>
          <w:color w:val="000000"/>
          <w:lang w:eastAsia="fr-FR"/>
        </w:rPr>
        <w:t>Oceans</w:t>
      </w:r>
      <w:proofErr w:type="spellEnd"/>
    </w:p>
    <w:p w:rsidR="00C762E0" w:rsidRPr="00C762E0" w:rsidRDefault="00C762E0" w:rsidP="00C762E0">
      <w:pPr>
        <w:numPr>
          <w:ilvl w:val="0"/>
          <w:numId w:val="3"/>
        </w:numPr>
        <w:tabs>
          <w:tab w:val="left" w:pos="567"/>
        </w:tabs>
        <w:autoSpaceDE w:val="0"/>
        <w:autoSpaceDN w:val="0"/>
        <w:adjustRightInd w:val="0"/>
        <w:snapToGrid w:val="0"/>
        <w:spacing w:after="120" w:line="240" w:lineRule="auto"/>
        <w:jc w:val="both"/>
        <w:rPr>
          <w:rFonts w:ascii="Arial" w:eastAsia="Times New Roman" w:hAnsi="Arial" w:cs="Arial"/>
          <w:color w:val="000000"/>
          <w:lang w:val="en-US" w:eastAsia="fr-FR"/>
        </w:rPr>
      </w:pPr>
      <w:r w:rsidRPr="00C762E0">
        <w:rPr>
          <w:rFonts w:ascii="Arial" w:eastAsia="Times New Roman" w:hAnsi="Arial" w:cs="Arial"/>
          <w:color w:val="000000"/>
          <w:lang w:val="en-US" w:eastAsia="fr-FR"/>
        </w:rPr>
        <w:t>to scientific networks using formal and informal communication mechanisms (for e.g. social media)</w:t>
      </w:r>
    </w:p>
    <w:p w:rsidR="00C762E0" w:rsidRPr="00C762E0" w:rsidRDefault="00C762E0" w:rsidP="00C762E0">
      <w:pPr>
        <w:numPr>
          <w:ilvl w:val="0"/>
          <w:numId w:val="3"/>
        </w:numPr>
        <w:tabs>
          <w:tab w:val="left" w:pos="567"/>
        </w:tabs>
        <w:autoSpaceDE w:val="0"/>
        <w:autoSpaceDN w:val="0"/>
        <w:adjustRightInd w:val="0"/>
        <w:snapToGrid w:val="0"/>
        <w:spacing w:after="0" w:line="240" w:lineRule="auto"/>
        <w:jc w:val="both"/>
        <w:rPr>
          <w:rFonts w:ascii="Arial" w:eastAsia="Times New Roman" w:hAnsi="Arial" w:cs="Arial"/>
          <w:color w:val="000000"/>
          <w:lang w:val="en-US" w:eastAsia="fr-FR"/>
        </w:rPr>
      </w:pPr>
      <w:proofErr w:type="gramStart"/>
      <w:r w:rsidRPr="00C762E0">
        <w:rPr>
          <w:rFonts w:ascii="Arial" w:eastAsia="Times New Roman" w:hAnsi="Arial" w:cs="Arial"/>
          <w:color w:val="000000"/>
          <w:lang w:val="en-US" w:eastAsia="fr-FR"/>
        </w:rPr>
        <w:t>to</w:t>
      </w:r>
      <w:proofErr w:type="gramEnd"/>
      <w:r w:rsidRPr="00C762E0">
        <w:rPr>
          <w:rFonts w:ascii="Arial" w:eastAsia="Times New Roman" w:hAnsi="Arial" w:cs="Arial"/>
          <w:color w:val="000000"/>
          <w:lang w:val="en-US" w:eastAsia="fr-FR"/>
        </w:rPr>
        <w:t xml:space="preserve"> dedicated ocean policy, business, SD networks through announcements, e.g. news fora.</w:t>
      </w:r>
    </w:p>
    <w:p w:rsidR="00C762E0" w:rsidRPr="00C762E0" w:rsidRDefault="00C762E0" w:rsidP="00C762E0">
      <w:pPr>
        <w:autoSpaceDE w:val="0"/>
        <w:autoSpaceDN w:val="0"/>
        <w:adjustRightInd w:val="0"/>
        <w:spacing w:after="0" w:line="240" w:lineRule="auto"/>
        <w:ind w:left="720"/>
        <w:jc w:val="both"/>
        <w:rPr>
          <w:rFonts w:ascii="Arial" w:eastAsia="Times New Roman" w:hAnsi="Arial" w:cs="Arial"/>
          <w:color w:val="000000"/>
          <w:lang w:val="en-US" w:eastAsia="fr-FR"/>
        </w:rPr>
      </w:pPr>
    </w:p>
    <w:p w:rsidR="00C762E0" w:rsidRPr="00C762E0" w:rsidRDefault="00C762E0" w:rsidP="00C762E0">
      <w:pPr>
        <w:tabs>
          <w:tab w:val="left" w:pos="2940"/>
        </w:tabs>
        <w:spacing w:after="240" w:line="240" w:lineRule="auto"/>
        <w:ind w:left="-5"/>
        <w:jc w:val="both"/>
        <w:rPr>
          <w:rFonts w:ascii="Calibri" w:eastAsia="Malgun Gothic" w:hAnsi="Calibri" w:cs="Arial"/>
          <w:lang w:val="en-US"/>
        </w:rPr>
      </w:pPr>
      <w:r w:rsidRPr="00C762E0">
        <w:rPr>
          <w:rFonts w:ascii="Arial" w:eastAsia="Malgun Gothic" w:hAnsi="Arial" w:cs="Arial"/>
          <w:lang w:val="en-US"/>
        </w:rPr>
        <w:t xml:space="preserve">With the </w:t>
      </w:r>
      <w:r w:rsidRPr="00C762E0">
        <w:rPr>
          <w:rFonts w:ascii="Arial" w:eastAsia="Malgun Gothic" w:hAnsi="Arial" w:cs="Arial"/>
          <w:color w:val="000000"/>
          <w:lang w:val="en-US"/>
        </w:rPr>
        <w:t>agreement</w:t>
      </w:r>
      <w:r w:rsidRPr="00C762E0">
        <w:rPr>
          <w:rFonts w:ascii="Arial" w:eastAsia="Malgun Gothic" w:hAnsi="Arial" w:cs="Arial"/>
          <w:lang w:val="en-US"/>
        </w:rPr>
        <w:t xml:space="preserve"> of the Executive Planning Group, the Coordinator may invite on an ad hoc basis other experts representing a specific knowledge or experience that may be missing within the group to contribute to discussion of an agenda item of a given Planning Group meeting or specific task.</w:t>
      </w:r>
    </w:p>
    <w:p w:rsidR="00C762E0" w:rsidRPr="00C762E0" w:rsidRDefault="00C762E0" w:rsidP="00C762E0">
      <w:pPr>
        <w:tabs>
          <w:tab w:val="left" w:pos="2940"/>
        </w:tabs>
        <w:spacing w:after="240" w:line="240" w:lineRule="auto"/>
        <w:ind w:left="-5"/>
        <w:jc w:val="both"/>
        <w:rPr>
          <w:rFonts w:ascii="Calibri" w:eastAsia="Malgun Gothic" w:hAnsi="Calibri" w:cs="Arial"/>
          <w:lang w:val="en-US"/>
        </w:rPr>
      </w:pPr>
      <w:r w:rsidRPr="00C762E0">
        <w:rPr>
          <w:rFonts w:ascii="Arial" w:eastAsia="Malgun Gothic" w:hAnsi="Arial" w:cs="Arial"/>
          <w:lang w:val="en-US"/>
        </w:rPr>
        <w:t xml:space="preserve">All members shall serve for the full term of the preparation phase. In case of resignation, inactivity or other </w:t>
      </w:r>
      <w:r w:rsidRPr="00C762E0">
        <w:rPr>
          <w:rFonts w:ascii="Arial" w:eastAsia="Malgun Gothic" w:hAnsi="Arial" w:cs="Arial"/>
          <w:color w:val="000000"/>
          <w:lang w:val="en-US"/>
        </w:rPr>
        <w:t>issues</w:t>
      </w:r>
      <w:r w:rsidRPr="00C762E0">
        <w:rPr>
          <w:rFonts w:ascii="Arial" w:eastAsia="Malgun Gothic" w:hAnsi="Arial" w:cs="Arial"/>
          <w:lang w:val="en-US"/>
        </w:rPr>
        <w:t xml:space="preserve"> affecting the performance of the Planning Group, the process used to select members of the Planning Group </w:t>
      </w:r>
      <w:proofErr w:type="gramStart"/>
      <w:r w:rsidRPr="00C762E0">
        <w:rPr>
          <w:rFonts w:ascii="Arial" w:eastAsia="Malgun Gothic" w:hAnsi="Arial" w:cs="Arial"/>
          <w:lang w:val="en-US"/>
        </w:rPr>
        <w:t>will be used</w:t>
      </w:r>
      <w:proofErr w:type="gramEnd"/>
      <w:r w:rsidRPr="00C762E0">
        <w:rPr>
          <w:rFonts w:ascii="Arial" w:eastAsia="Malgun Gothic" w:hAnsi="Arial" w:cs="Arial"/>
          <w:lang w:val="en-US"/>
        </w:rPr>
        <w:t xml:space="preserve"> to consider replacements or additions. </w:t>
      </w:r>
    </w:p>
    <w:p w:rsidR="00C762E0" w:rsidRPr="00C762E0" w:rsidRDefault="00C762E0" w:rsidP="00C762E0">
      <w:pPr>
        <w:autoSpaceDE w:val="0"/>
        <w:autoSpaceDN w:val="0"/>
        <w:adjustRightInd w:val="0"/>
        <w:spacing w:after="0" w:line="240" w:lineRule="auto"/>
        <w:jc w:val="both"/>
        <w:rPr>
          <w:rFonts w:ascii="Arial" w:eastAsia="Times New Roman" w:hAnsi="Arial" w:cs="Arial"/>
          <w:i/>
          <w:color w:val="000000"/>
          <w:lang w:val="en-US" w:eastAsia="fr-FR"/>
        </w:rPr>
      </w:pPr>
      <w:r w:rsidRPr="00C762E0">
        <w:rPr>
          <w:rFonts w:ascii="Arial" w:eastAsia="Times New Roman" w:hAnsi="Arial" w:cs="Arial"/>
          <w:i/>
          <w:color w:val="000000"/>
          <w:lang w:val="en-US" w:eastAsia="fr-FR"/>
        </w:rPr>
        <w:t xml:space="preserve">Candidatures </w:t>
      </w:r>
    </w:p>
    <w:p w:rsidR="00C762E0" w:rsidRPr="00C762E0" w:rsidRDefault="00C762E0" w:rsidP="00C762E0">
      <w:pPr>
        <w:autoSpaceDE w:val="0"/>
        <w:autoSpaceDN w:val="0"/>
        <w:adjustRightInd w:val="0"/>
        <w:spacing w:after="0" w:line="240" w:lineRule="auto"/>
        <w:jc w:val="both"/>
        <w:rPr>
          <w:rFonts w:ascii="Arial" w:eastAsia="Times New Roman" w:hAnsi="Arial" w:cs="Arial"/>
          <w:i/>
          <w:color w:val="000000"/>
          <w:lang w:val="en-US" w:eastAsia="fr-FR"/>
        </w:rPr>
      </w:pPr>
    </w:p>
    <w:p w:rsidR="00C762E0" w:rsidRPr="00C762E0" w:rsidRDefault="00C762E0" w:rsidP="00C762E0">
      <w:pPr>
        <w:tabs>
          <w:tab w:val="left" w:pos="2940"/>
        </w:tabs>
        <w:spacing w:after="240" w:line="240" w:lineRule="auto"/>
        <w:ind w:left="-5"/>
        <w:jc w:val="both"/>
        <w:rPr>
          <w:rFonts w:ascii="Calibri" w:eastAsia="Malgun Gothic" w:hAnsi="Calibri" w:cs="Arial"/>
          <w:lang w:val="en-US"/>
        </w:rPr>
      </w:pPr>
      <w:r w:rsidRPr="00C762E0">
        <w:rPr>
          <w:rFonts w:ascii="Arial" w:eastAsia="Malgun Gothic" w:hAnsi="Arial" w:cs="Arial"/>
          <w:lang w:val="en-US"/>
        </w:rPr>
        <w:t xml:space="preserve">A Selection Panel (with the technical support of the IOC Secretariat), convened by the IOC Chair and composed of the IOC elected Officers, will be tasked with selecting members of the Planning Group. </w:t>
      </w:r>
    </w:p>
    <w:p w:rsidR="00C762E0" w:rsidRPr="00C762E0" w:rsidRDefault="00C762E0" w:rsidP="00C762E0">
      <w:pPr>
        <w:tabs>
          <w:tab w:val="left" w:pos="2940"/>
        </w:tabs>
        <w:spacing w:after="120" w:line="240" w:lineRule="auto"/>
        <w:ind w:left="-5"/>
        <w:jc w:val="both"/>
        <w:rPr>
          <w:rFonts w:ascii="Calibri" w:eastAsia="Malgun Gothic" w:hAnsi="Calibri" w:cs="Arial"/>
          <w:lang w:val="en-US"/>
        </w:rPr>
      </w:pPr>
      <w:r w:rsidRPr="00C762E0">
        <w:rPr>
          <w:rFonts w:ascii="Arial" w:eastAsia="Malgun Gothic" w:hAnsi="Arial" w:cs="Arial"/>
          <w:lang w:val="en-US"/>
        </w:rPr>
        <w:t xml:space="preserve">The Selection Panel will ensure that the proposed members have sufficient skills, knowledge, authority and influence regarding the key objectives of the Decade and are able to undertake the work outlined in the terms of reference. Their skills and expertise should cover: </w:t>
      </w:r>
    </w:p>
    <w:p w:rsidR="00C762E0" w:rsidRPr="00C762E0" w:rsidRDefault="00C762E0" w:rsidP="00C762E0">
      <w:pPr>
        <w:numPr>
          <w:ilvl w:val="0"/>
          <w:numId w:val="4"/>
        </w:numPr>
        <w:tabs>
          <w:tab w:val="left" w:pos="567"/>
        </w:tabs>
        <w:autoSpaceDE w:val="0"/>
        <w:autoSpaceDN w:val="0"/>
        <w:adjustRightInd w:val="0"/>
        <w:snapToGrid w:val="0"/>
        <w:spacing w:after="120" w:line="240" w:lineRule="auto"/>
        <w:ind w:left="993" w:hanging="633"/>
        <w:jc w:val="both"/>
        <w:rPr>
          <w:rFonts w:ascii="Arial" w:eastAsia="Times New Roman" w:hAnsi="Arial" w:cs="Arial"/>
          <w:color w:val="000000"/>
          <w:lang w:val="en-US" w:eastAsia="fr-FR"/>
        </w:rPr>
      </w:pPr>
      <w:r w:rsidRPr="00C762E0">
        <w:rPr>
          <w:rFonts w:ascii="Arial" w:eastAsia="Times New Roman" w:hAnsi="Arial" w:cs="Arial"/>
          <w:color w:val="000000"/>
          <w:lang w:val="en-US" w:eastAsia="fr-FR"/>
        </w:rPr>
        <w:t xml:space="preserve">Intergovernmental processes and coordination; </w:t>
      </w:r>
    </w:p>
    <w:p w:rsidR="00C762E0" w:rsidRPr="00C762E0" w:rsidRDefault="00C762E0" w:rsidP="00C762E0">
      <w:pPr>
        <w:numPr>
          <w:ilvl w:val="0"/>
          <w:numId w:val="4"/>
        </w:numPr>
        <w:tabs>
          <w:tab w:val="left" w:pos="567"/>
        </w:tabs>
        <w:autoSpaceDE w:val="0"/>
        <w:autoSpaceDN w:val="0"/>
        <w:adjustRightInd w:val="0"/>
        <w:snapToGrid w:val="0"/>
        <w:spacing w:after="120" w:line="240" w:lineRule="auto"/>
        <w:ind w:left="993" w:hanging="633"/>
        <w:jc w:val="both"/>
        <w:rPr>
          <w:rFonts w:ascii="Arial" w:eastAsia="Times New Roman" w:hAnsi="Arial" w:cs="Arial"/>
          <w:color w:val="000000"/>
          <w:lang w:val="en-US" w:eastAsia="fr-FR"/>
        </w:rPr>
      </w:pPr>
      <w:r w:rsidRPr="00C762E0">
        <w:rPr>
          <w:rFonts w:ascii="Arial" w:eastAsia="Times New Roman" w:hAnsi="Arial" w:cs="Arial"/>
          <w:color w:val="000000"/>
          <w:lang w:val="en-US" w:eastAsia="fr-FR"/>
        </w:rPr>
        <w:t xml:space="preserve">The ocean aspects of sustainable development; </w:t>
      </w:r>
    </w:p>
    <w:p w:rsidR="00C762E0" w:rsidRPr="00C762E0" w:rsidRDefault="00C762E0" w:rsidP="00C762E0">
      <w:pPr>
        <w:numPr>
          <w:ilvl w:val="0"/>
          <w:numId w:val="4"/>
        </w:numPr>
        <w:tabs>
          <w:tab w:val="left" w:pos="567"/>
        </w:tabs>
        <w:autoSpaceDE w:val="0"/>
        <w:autoSpaceDN w:val="0"/>
        <w:adjustRightInd w:val="0"/>
        <w:snapToGrid w:val="0"/>
        <w:spacing w:after="120" w:line="240" w:lineRule="auto"/>
        <w:ind w:left="993" w:hanging="633"/>
        <w:jc w:val="both"/>
        <w:rPr>
          <w:rFonts w:ascii="Arial" w:eastAsia="Times New Roman" w:hAnsi="Arial" w:cs="Arial"/>
          <w:color w:val="000000"/>
          <w:lang w:val="en-US" w:eastAsia="fr-FR"/>
        </w:rPr>
      </w:pPr>
      <w:r w:rsidRPr="00C762E0">
        <w:rPr>
          <w:rFonts w:ascii="Arial" w:eastAsia="Times New Roman" w:hAnsi="Arial" w:cs="Arial"/>
          <w:color w:val="000000"/>
          <w:lang w:val="en-US" w:eastAsia="fr-FR"/>
        </w:rPr>
        <w:t xml:space="preserve">Ocean science as outlined in the Decade strategy; </w:t>
      </w:r>
    </w:p>
    <w:p w:rsidR="00C762E0" w:rsidRPr="00C762E0" w:rsidRDefault="00C762E0" w:rsidP="00C762E0">
      <w:pPr>
        <w:numPr>
          <w:ilvl w:val="0"/>
          <w:numId w:val="4"/>
        </w:numPr>
        <w:tabs>
          <w:tab w:val="left" w:pos="567"/>
        </w:tabs>
        <w:autoSpaceDE w:val="0"/>
        <w:autoSpaceDN w:val="0"/>
        <w:adjustRightInd w:val="0"/>
        <w:snapToGrid w:val="0"/>
        <w:spacing w:after="120" w:line="240" w:lineRule="auto"/>
        <w:ind w:left="993" w:hanging="633"/>
        <w:jc w:val="both"/>
        <w:rPr>
          <w:rFonts w:ascii="Arial" w:eastAsia="Times New Roman" w:hAnsi="Arial" w:cs="Arial"/>
          <w:color w:val="000000"/>
          <w:lang w:val="en-US" w:eastAsia="fr-FR"/>
        </w:rPr>
      </w:pPr>
      <w:r w:rsidRPr="00C762E0">
        <w:rPr>
          <w:rFonts w:ascii="Arial" w:eastAsia="Times New Roman" w:hAnsi="Arial" w:cs="Arial"/>
          <w:color w:val="000000"/>
          <w:lang w:val="en-US" w:eastAsia="fr-FR"/>
        </w:rPr>
        <w:t xml:space="preserve">The science-policy / decision / user interface; </w:t>
      </w:r>
    </w:p>
    <w:p w:rsidR="00C762E0" w:rsidRPr="00C762E0" w:rsidRDefault="00C762E0" w:rsidP="00C762E0">
      <w:pPr>
        <w:numPr>
          <w:ilvl w:val="0"/>
          <w:numId w:val="4"/>
        </w:numPr>
        <w:tabs>
          <w:tab w:val="left" w:pos="567"/>
        </w:tabs>
        <w:autoSpaceDE w:val="0"/>
        <w:autoSpaceDN w:val="0"/>
        <w:adjustRightInd w:val="0"/>
        <w:snapToGrid w:val="0"/>
        <w:spacing w:after="120" w:line="240" w:lineRule="auto"/>
        <w:ind w:left="993" w:hanging="633"/>
        <w:jc w:val="both"/>
        <w:rPr>
          <w:rFonts w:ascii="Arial" w:eastAsia="Times New Roman" w:hAnsi="Arial" w:cs="Arial"/>
          <w:color w:val="000000"/>
          <w:lang w:val="en-US" w:eastAsia="fr-FR"/>
        </w:rPr>
      </w:pPr>
      <w:r w:rsidRPr="00C762E0">
        <w:rPr>
          <w:rFonts w:ascii="Arial" w:eastAsia="Times New Roman" w:hAnsi="Arial" w:cs="Arial"/>
          <w:color w:val="000000"/>
          <w:lang w:val="en-US" w:eastAsia="fr-FR"/>
        </w:rPr>
        <w:t xml:space="preserve">Capacity building, training and technology transfer, and education; and </w:t>
      </w:r>
    </w:p>
    <w:p w:rsidR="00C762E0" w:rsidRPr="00C762E0" w:rsidRDefault="00C762E0" w:rsidP="00C762E0">
      <w:pPr>
        <w:numPr>
          <w:ilvl w:val="0"/>
          <w:numId w:val="4"/>
        </w:numPr>
        <w:tabs>
          <w:tab w:val="left" w:pos="567"/>
        </w:tabs>
        <w:autoSpaceDE w:val="0"/>
        <w:autoSpaceDN w:val="0"/>
        <w:adjustRightInd w:val="0"/>
        <w:snapToGrid w:val="0"/>
        <w:spacing w:after="0" w:line="240" w:lineRule="auto"/>
        <w:ind w:left="993" w:hanging="633"/>
        <w:jc w:val="both"/>
        <w:rPr>
          <w:rFonts w:ascii="Arial" w:eastAsia="Times New Roman" w:hAnsi="Arial" w:cs="Arial"/>
          <w:color w:val="000000"/>
          <w:lang w:val="en-US" w:eastAsia="fr-FR"/>
        </w:rPr>
      </w:pPr>
      <w:r w:rsidRPr="00C762E0">
        <w:rPr>
          <w:rFonts w:ascii="Arial" w:eastAsia="Times New Roman" w:hAnsi="Arial" w:cs="Arial"/>
          <w:color w:val="000000"/>
          <w:lang w:val="en-US" w:eastAsia="fr-FR"/>
        </w:rPr>
        <w:t xml:space="preserve">Development of large </w:t>
      </w:r>
      <w:proofErr w:type="spellStart"/>
      <w:r w:rsidRPr="00C762E0">
        <w:rPr>
          <w:rFonts w:ascii="Arial" w:eastAsia="Times New Roman" w:hAnsi="Arial" w:cs="Arial"/>
          <w:color w:val="000000"/>
          <w:lang w:val="en-US" w:eastAsia="fr-FR"/>
        </w:rPr>
        <w:t>programmes</w:t>
      </w:r>
      <w:proofErr w:type="spellEnd"/>
      <w:r w:rsidRPr="00C762E0">
        <w:rPr>
          <w:rFonts w:ascii="Arial" w:eastAsia="Times New Roman" w:hAnsi="Arial" w:cs="Arial"/>
          <w:color w:val="000000"/>
          <w:lang w:val="en-US" w:eastAsia="fr-FR"/>
        </w:rPr>
        <w:t xml:space="preserve"> / projects. </w:t>
      </w:r>
    </w:p>
    <w:p w:rsidR="00C762E0" w:rsidRPr="00C762E0" w:rsidRDefault="00C762E0" w:rsidP="00C762E0">
      <w:pPr>
        <w:autoSpaceDE w:val="0"/>
        <w:autoSpaceDN w:val="0"/>
        <w:adjustRightInd w:val="0"/>
        <w:spacing w:after="0" w:line="240" w:lineRule="auto"/>
        <w:jc w:val="both"/>
        <w:rPr>
          <w:rFonts w:ascii="Arial" w:eastAsia="Times New Roman" w:hAnsi="Arial" w:cs="Arial"/>
          <w:color w:val="000000"/>
          <w:lang w:val="en-US" w:eastAsia="fr-FR"/>
        </w:rPr>
      </w:pPr>
    </w:p>
    <w:p w:rsidR="00C762E0" w:rsidRPr="00C762E0" w:rsidRDefault="00C762E0" w:rsidP="00C762E0">
      <w:pPr>
        <w:tabs>
          <w:tab w:val="left" w:pos="2940"/>
        </w:tabs>
        <w:spacing w:after="240" w:line="240" w:lineRule="auto"/>
        <w:ind w:left="-5"/>
        <w:jc w:val="both"/>
        <w:rPr>
          <w:rFonts w:ascii="Calibri" w:eastAsia="Malgun Gothic" w:hAnsi="Calibri" w:cs="Arial"/>
          <w:lang w:val="en-US"/>
        </w:rPr>
      </w:pPr>
      <w:r w:rsidRPr="00C762E0">
        <w:rPr>
          <w:rFonts w:ascii="Arial" w:eastAsia="Malgun Gothic" w:hAnsi="Arial" w:cs="Arial"/>
          <w:lang w:val="en-US"/>
        </w:rPr>
        <w:t xml:space="preserve">Consideration should be given to gender, age and regional balance (balancing developed and developing Member States interests), with the objectives of balancing knowledge and experience with new ideas and maintaining representativeness while maximizing overall effectiveness. </w:t>
      </w:r>
    </w:p>
    <w:p w:rsidR="00C762E0" w:rsidRPr="00C762E0" w:rsidRDefault="00C762E0" w:rsidP="00C762E0">
      <w:pPr>
        <w:tabs>
          <w:tab w:val="left" w:pos="2940"/>
        </w:tabs>
        <w:spacing w:after="240" w:line="240" w:lineRule="auto"/>
        <w:ind w:left="-5"/>
        <w:jc w:val="both"/>
        <w:rPr>
          <w:rFonts w:ascii="Calibri" w:eastAsia="Malgun Gothic" w:hAnsi="Calibri" w:cs="Arial"/>
          <w:lang w:val="en-US"/>
        </w:rPr>
      </w:pPr>
      <w:r w:rsidRPr="00C762E0">
        <w:rPr>
          <w:rFonts w:ascii="Arial" w:eastAsia="Malgun Gothic" w:hAnsi="Arial" w:cs="Arial"/>
          <w:lang w:val="en-US"/>
        </w:rPr>
        <w:t xml:space="preserve">In the conduct of their selection work, the Vice-Chairs may consult as necessary with other expert bodies, networks, (IOC) Member States to assess the expertise of a candidate and ensuring additional positive endorsement in the concerned field of expertise. The Vice-Chairs will be under no obligation to follow the opinion issued.  </w:t>
      </w:r>
    </w:p>
    <w:p w:rsidR="00C762E0" w:rsidRPr="00C762E0" w:rsidRDefault="00C762E0" w:rsidP="00C762E0">
      <w:pPr>
        <w:numPr>
          <w:ilvl w:val="0"/>
          <w:numId w:val="1"/>
        </w:numPr>
        <w:tabs>
          <w:tab w:val="left" w:pos="567"/>
        </w:tabs>
        <w:snapToGrid w:val="0"/>
        <w:spacing w:after="240" w:line="240" w:lineRule="auto"/>
        <w:ind w:left="357" w:hanging="357"/>
        <w:jc w:val="both"/>
        <w:rPr>
          <w:rFonts w:ascii="Arial" w:eastAsia="Malgun Gothic" w:hAnsi="Arial" w:cs="Arial"/>
          <w:b/>
          <w:lang w:val="en-US"/>
        </w:rPr>
      </w:pPr>
      <w:r w:rsidRPr="00C762E0">
        <w:rPr>
          <w:rFonts w:ascii="Arial" w:eastAsia="Malgun Gothic" w:hAnsi="Arial" w:cs="Arial"/>
          <w:b/>
          <w:lang w:val="en-US"/>
        </w:rPr>
        <w:t>Terms of appointment</w:t>
      </w:r>
    </w:p>
    <w:p w:rsidR="00C762E0" w:rsidRPr="00C762E0" w:rsidRDefault="00C762E0" w:rsidP="00C762E0">
      <w:pPr>
        <w:tabs>
          <w:tab w:val="left" w:pos="2940"/>
        </w:tabs>
        <w:spacing w:after="240" w:line="240" w:lineRule="auto"/>
        <w:ind w:left="-5"/>
        <w:jc w:val="both"/>
        <w:rPr>
          <w:rFonts w:ascii="Calibri" w:eastAsia="Malgun Gothic" w:hAnsi="Calibri" w:cs="Arial"/>
          <w:lang w:val="en-US"/>
        </w:rPr>
      </w:pPr>
      <w:r w:rsidRPr="00C762E0">
        <w:rPr>
          <w:rFonts w:ascii="Arial" w:eastAsia="Malgun Gothic" w:hAnsi="Arial" w:cs="Arial"/>
          <w:lang w:val="en-US"/>
        </w:rPr>
        <w:t xml:space="preserve">The Planning Group and its membership </w:t>
      </w:r>
      <w:proofErr w:type="gramStart"/>
      <w:r w:rsidRPr="00C762E0">
        <w:rPr>
          <w:rFonts w:ascii="Arial" w:eastAsia="Malgun Gothic" w:hAnsi="Arial" w:cs="Arial"/>
          <w:lang w:val="en-US"/>
        </w:rPr>
        <w:t>will be appointed</w:t>
      </w:r>
      <w:proofErr w:type="gramEnd"/>
      <w:r w:rsidRPr="00C762E0">
        <w:rPr>
          <w:rFonts w:ascii="Arial" w:eastAsia="Malgun Gothic" w:hAnsi="Arial" w:cs="Arial"/>
          <w:lang w:val="en-US"/>
        </w:rPr>
        <w:t xml:space="preserve"> for the duration of the work with the Implementation Plan, and is not anticipated to be active beyond 2020, after the presentation of the Implementation Plan to the United Nations General Assembly for consideration during its seventy-fifth session. Experts nominated to the group will serve in their </w:t>
      </w:r>
      <w:r w:rsidRPr="00C762E0">
        <w:rPr>
          <w:rFonts w:ascii="Arial" w:eastAsia="Malgun Gothic" w:hAnsi="Arial" w:cs="Arial"/>
          <w:b/>
          <w:lang w:val="en-US"/>
        </w:rPr>
        <w:t>personal capacity</w:t>
      </w:r>
      <w:r w:rsidRPr="00C762E0">
        <w:rPr>
          <w:rFonts w:ascii="Arial" w:eastAsia="Malgun Gothic" w:hAnsi="Arial" w:cs="Arial"/>
          <w:lang w:val="en-US"/>
        </w:rPr>
        <w:t xml:space="preserve"> and do not represent their institutions. </w:t>
      </w:r>
    </w:p>
    <w:p w:rsidR="00C762E0" w:rsidRDefault="00C762E0" w:rsidP="00C762E0">
      <w:pPr>
        <w:tabs>
          <w:tab w:val="left" w:pos="2940"/>
        </w:tabs>
        <w:spacing w:after="240" w:line="240" w:lineRule="auto"/>
        <w:ind w:left="-5"/>
        <w:jc w:val="both"/>
        <w:rPr>
          <w:rFonts w:ascii="Times New Roman" w:eastAsia="SimSun" w:hAnsi="Times New Roman" w:cs="Times New Roman"/>
          <w:noProof/>
          <w:snapToGrid w:val="0"/>
          <w:sz w:val="24"/>
          <w:szCs w:val="24"/>
          <w:lang w:val="en-US" w:eastAsia="zh-CN"/>
        </w:rPr>
      </w:pPr>
      <w:r w:rsidRPr="00C762E0">
        <w:rPr>
          <w:rFonts w:ascii="Arial" w:eastAsia="Malgun Gothic" w:hAnsi="Arial" w:cs="Arial"/>
          <w:lang w:val="en-US"/>
        </w:rPr>
        <w:lastRenderedPageBreak/>
        <w:t xml:space="preserve">A candidature form will be prepared, specifying areas of relevant expertise </w:t>
      </w:r>
      <w:r w:rsidRPr="00C762E0">
        <w:rPr>
          <w:rFonts w:ascii="Arial" w:eastAsia="Malgun Gothic" w:hAnsi="Arial" w:cs="Arial"/>
          <w:color w:val="000000"/>
          <w:lang w:val="en-US"/>
        </w:rPr>
        <w:t>of individual experts</w:t>
      </w:r>
      <w:r w:rsidRPr="00C762E0">
        <w:rPr>
          <w:rFonts w:ascii="Arial" w:eastAsia="Malgun Gothic" w:hAnsi="Arial" w:cs="Arial"/>
          <w:lang w:val="en-US"/>
        </w:rPr>
        <w:t xml:space="preserve">. By signing up, it </w:t>
      </w:r>
      <w:proofErr w:type="gramStart"/>
      <w:r w:rsidRPr="00C762E0">
        <w:rPr>
          <w:rFonts w:ascii="Arial" w:eastAsia="Malgun Gothic" w:hAnsi="Arial" w:cs="Arial"/>
          <w:lang w:val="en-US"/>
        </w:rPr>
        <w:t>is understood</w:t>
      </w:r>
      <w:proofErr w:type="gramEnd"/>
      <w:r w:rsidRPr="00C762E0">
        <w:rPr>
          <w:rFonts w:ascii="Arial" w:eastAsia="Malgun Gothic" w:hAnsi="Arial" w:cs="Arial"/>
          <w:lang w:val="en-US"/>
        </w:rPr>
        <w:t xml:space="preserve"> that the expert has received the authorization of his or her employer to dedicate time to the work of the Planning Group.</w:t>
      </w:r>
    </w:p>
    <w:p w:rsidR="00C762E0" w:rsidRPr="00C762E0" w:rsidRDefault="00C762E0" w:rsidP="00C762E0">
      <w:pPr>
        <w:pStyle w:val="ListParagraph"/>
        <w:numPr>
          <w:ilvl w:val="0"/>
          <w:numId w:val="1"/>
        </w:numPr>
        <w:tabs>
          <w:tab w:val="left" w:pos="2940"/>
        </w:tabs>
        <w:spacing w:after="240" w:line="240" w:lineRule="auto"/>
        <w:jc w:val="both"/>
        <w:rPr>
          <w:rFonts w:ascii="Calibri" w:eastAsia="Malgun Gothic" w:hAnsi="Calibri" w:cs="Arial"/>
          <w:lang w:val="en-US"/>
        </w:rPr>
      </w:pPr>
      <w:r w:rsidRPr="00C762E0">
        <w:rPr>
          <w:rFonts w:ascii="Arial" w:eastAsia="Malgun Gothic" w:hAnsi="Arial" w:cs="Arial"/>
          <w:b/>
          <w:lang w:val="en-US"/>
        </w:rPr>
        <w:t>Meetings</w:t>
      </w:r>
    </w:p>
    <w:p w:rsidR="00C762E0" w:rsidRPr="00C762E0" w:rsidRDefault="00C762E0" w:rsidP="00C762E0">
      <w:pPr>
        <w:tabs>
          <w:tab w:val="left" w:pos="2940"/>
        </w:tabs>
        <w:spacing w:after="240" w:line="240" w:lineRule="auto"/>
        <w:ind w:left="-5"/>
        <w:jc w:val="both"/>
        <w:rPr>
          <w:rFonts w:ascii="Calibri" w:eastAsia="Malgun Gothic" w:hAnsi="Calibri" w:cs="Arial"/>
          <w:lang w:val="en-US"/>
        </w:rPr>
      </w:pPr>
      <w:r w:rsidRPr="00C762E0">
        <w:rPr>
          <w:rFonts w:ascii="Arial" w:eastAsia="Malgun Gothic" w:hAnsi="Arial" w:cs="Arial"/>
          <w:lang w:val="en-US"/>
        </w:rPr>
        <w:t xml:space="preserve">The Planning Group will meet at least twice during its term, once during each of the IOC intersessional periods 2018–19 and 2019–20. Resources </w:t>
      </w:r>
      <w:proofErr w:type="gramStart"/>
      <w:r w:rsidRPr="00C762E0">
        <w:rPr>
          <w:rFonts w:ascii="Arial" w:eastAsia="Malgun Gothic" w:hAnsi="Arial" w:cs="Arial"/>
          <w:lang w:val="en-US"/>
        </w:rPr>
        <w:t>will be identified</w:t>
      </w:r>
      <w:proofErr w:type="gramEnd"/>
      <w:r w:rsidRPr="00C762E0">
        <w:rPr>
          <w:rFonts w:ascii="Arial" w:eastAsia="Malgun Gothic" w:hAnsi="Arial" w:cs="Arial"/>
          <w:lang w:val="en-US"/>
        </w:rPr>
        <w:t xml:space="preserve"> to support mission costs related to these meetings.</w:t>
      </w:r>
    </w:p>
    <w:p w:rsidR="00C762E0" w:rsidRPr="00C762E0" w:rsidRDefault="00C762E0" w:rsidP="00C762E0">
      <w:pPr>
        <w:tabs>
          <w:tab w:val="left" w:pos="2940"/>
        </w:tabs>
        <w:spacing w:after="240" w:line="240" w:lineRule="auto"/>
        <w:ind w:left="-5"/>
        <w:jc w:val="both"/>
        <w:rPr>
          <w:rFonts w:ascii="Calibri" w:eastAsia="Malgun Gothic" w:hAnsi="Calibri" w:cs="Arial"/>
          <w:lang w:val="en-US"/>
        </w:rPr>
      </w:pPr>
      <w:r w:rsidRPr="00C762E0">
        <w:rPr>
          <w:rFonts w:ascii="Arial" w:eastAsia="Malgun Gothic" w:hAnsi="Arial" w:cs="Arial"/>
          <w:lang w:val="en-US"/>
        </w:rPr>
        <w:t xml:space="preserve">The Planning Group may convene further meetings [e.g. Skype meetings] after consultation with the IOC. Specific sub-groups may be established and mandated for conducting technical tasks relevant to the implementation plan as decided by the Planning Group. These technical working groups may meet as often as required by their members. The Executive Secretary or in his absence a designated representative will chair the Planning Group meetings. </w:t>
      </w:r>
    </w:p>
    <w:p w:rsidR="00C762E0" w:rsidRPr="00C762E0" w:rsidRDefault="00C762E0" w:rsidP="00C762E0">
      <w:pPr>
        <w:tabs>
          <w:tab w:val="left" w:pos="2940"/>
        </w:tabs>
        <w:spacing w:after="240" w:line="240" w:lineRule="auto"/>
        <w:ind w:left="-5"/>
        <w:jc w:val="both"/>
        <w:rPr>
          <w:rFonts w:ascii="Calibri" w:eastAsia="Malgun Gothic" w:hAnsi="Calibri" w:cs="Arial"/>
          <w:lang w:val="en-US"/>
        </w:rPr>
      </w:pPr>
      <w:r w:rsidRPr="00C762E0">
        <w:rPr>
          <w:rFonts w:ascii="Arial" w:eastAsia="Malgun Gothic" w:hAnsi="Arial" w:cs="Arial"/>
          <w:lang w:val="en-US"/>
        </w:rPr>
        <w:t xml:space="preserve">Finally, the selected experts should be able to commit sufficient time to the work of the Planning Group and will take the responsibility to request the authorization of their employer to participate in this process. </w:t>
      </w:r>
    </w:p>
    <w:p w:rsidR="00C762E0" w:rsidRPr="00C762E0" w:rsidRDefault="00C762E0" w:rsidP="00C762E0">
      <w:pPr>
        <w:numPr>
          <w:ilvl w:val="0"/>
          <w:numId w:val="1"/>
        </w:numPr>
        <w:tabs>
          <w:tab w:val="left" w:pos="567"/>
        </w:tabs>
        <w:snapToGrid w:val="0"/>
        <w:spacing w:after="240" w:line="240" w:lineRule="auto"/>
        <w:ind w:left="357" w:hanging="357"/>
        <w:jc w:val="both"/>
        <w:rPr>
          <w:rFonts w:ascii="Arial" w:eastAsia="Malgun Gothic" w:hAnsi="Arial" w:cs="Arial"/>
          <w:b/>
          <w:lang w:val="en-US"/>
        </w:rPr>
      </w:pPr>
      <w:r w:rsidRPr="00C762E0">
        <w:rPr>
          <w:rFonts w:ascii="Arial" w:eastAsia="Malgun Gothic" w:hAnsi="Arial" w:cs="Arial"/>
          <w:b/>
          <w:lang w:val="en-US"/>
        </w:rPr>
        <w:t>Decision-making process</w:t>
      </w:r>
    </w:p>
    <w:p w:rsidR="00C762E0" w:rsidRPr="00C762E0" w:rsidRDefault="00C762E0" w:rsidP="00C762E0">
      <w:pPr>
        <w:tabs>
          <w:tab w:val="left" w:pos="2940"/>
        </w:tabs>
        <w:spacing w:after="240" w:line="240" w:lineRule="auto"/>
        <w:ind w:left="-5"/>
        <w:jc w:val="both"/>
        <w:rPr>
          <w:rFonts w:ascii="Calibri" w:eastAsia="Malgun Gothic" w:hAnsi="Calibri" w:cs="Arial"/>
          <w:lang w:val="en-US"/>
        </w:rPr>
      </w:pPr>
      <w:r w:rsidRPr="00C762E0">
        <w:rPr>
          <w:rFonts w:ascii="Arial" w:eastAsia="Malgun Gothic" w:hAnsi="Arial" w:cs="Arial"/>
          <w:lang w:val="en-US"/>
        </w:rPr>
        <w:t xml:space="preserve">The Planning Group strives for consensus on all issues in providing recommendations and advice to the IOC governing bodies. Where no consensus </w:t>
      </w:r>
      <w:proofErr w:type="gramStart"/>
      <w:r w:rsidRPr="00C762E0">
        <w:rPr>
          <w:rFonts w:ascii="Arial" w:eastAsia="Malgun Gothic" w:hAnsi="Arial" w:cs="Arial"/>
          <w:lang w:val="en-US"/>
        </w:rPr>
        <w:t>can be reached</w:t>
      </w:r>
      <w:proofErr w:type="gramEnd"/>
      <w:r w:rsidRPr="00C762E0">
        <w:rPr>
          <w:rFonts w:ascii="Arial" w:eastAsia="Malgun Gothic" w:hAnsi="Arial" w:cs="Arial"/>
          <w:lang w:val="en-US"/>
        </w:rPr>
        <w:t xml:space="preserve">, the IOC governing body at its next session will be informed of the situation. </w:t>
      </w:r>
    </w:p>
    <w:p w:rsidR="00C762E0" w:rsidRPr="00C762E0" w:rsidRDefault="00C762E0" w:rsidP="00C762E0">
      <w:pPr>
        <w:numPr>
          <w:ilvl w:val="0"/>
          <w:numId w:val="1"/>
        </w:numPr>
        <w:tabs>
          <w:tab w:val="left" w:pos="567"/>
        </w:tabs>
        <w:snapToGrid w:val="0"/>
        <w:spacing w:after="240" w:line="240" w:lineRule="auto"/>
        <w:ind w:left="357" w:hanging="357"/>
        <w:jc w:val="both"/>
        <w:rPr>
          <w:rFonts w:ascii="Arial" w:eastAsia="Malgun Gothic" w:hAnsi="Arial" w:cs="Arial"/>
          <w:b/>
          <w:lang w:val="en-US"/>
        </w:rPr>
      </w:pPr>
      <w:r w:rsidRPr="00C762E0">
        <w:rPr>
          <w:rFonts w:ascii="Arial" w:eastAsia="Malgun Gothic" w:hAnsi="Arial" w:cs="Arial"/>
          <w:b/>
          <w:lang w:val="en-US"/>
        </w:rPr>
        <w:t>Secretariat</w:t>
      </w:r>
    </w:p>
    <w:p w:rsidR="00C762E0" w:rsidRPr="00C762E0" w:rsidRDefault="00C762E0" w:rsidP="00C762E0">
      <w:pPr>
        <w:tabs>
          <w:tab w:val="left" w:pos="2940"/>
        </w:tabs>
        <w:spacing w:after="240" w:line="240" w:lineRule="auto"/>
        <w:ind w:left="-5"/>
        <w:jc w:val="both"/>
        <w:rPr>
          <w:rFonts w:ascii="Calibri" w:eastAsia="Malgun Gothic" w:hAnsi="Calibri" w:cs="Arial"/>
          <w:lang w:val="en-US"/>
        </w:rPr>
      </w:pPr>
      <w:r w:rsidRPr="00C762E0">
        <w:rPr>
          <w:rFonts w:ascii="Arial" w:eastAsia="Malgun Gothic" w:hAnsi="Arial" w:cs="Arial"/>
          <w:lang w:val="en-US"/>
        </w:rPr>
        <w:t>The IOC Secretariat will provide</w:t>
      </w:r>
      <w:bookmarkStart w:id="0" w:name="_GoBack"/>
      <w:bookmarkEnd w:id="0"/>
      <w:r w:rsidRPr="00C762E0">
        <w:rPr>
          <w:rFonts w:ascii="Arial" w:eastAsia="Malgun Gothic" w:hAnsi="Arial" w:cs="Arial"/>
          <w:lang w:val="en-US"/>
        </w:rPr>
        <w:t xml:space="preserve"> administrative, technical and editorial support as required by the Planning Group.</w:t>
      </w:r>
    </w:p>
    <w:p w:rsidR="00C762E0" w:rsidRPr="00C762E0" w:rsidRDefault="00C762E0" w:rsidP="00C762E0">
      <w:pPr>
        <w:numPr>
          <w:ilvl w:val="0"/>
          <w:numId w:val="1"/>
        </w:numPr>
        <w:tabs>
          <w:tab w:val="left" w:pos="567"/>
        </w:tabs>
        <w:snapToGrid w:val="0"/>
        <w:spacing w:after="0" w:line="240" w:lineRule="auto"/>
        <w:contextualSpacing/>
        <w:jc w:val="both"/>
        <w:rPr>
          <w:rFonts w:ascii="Arial" w:eastAsia="Malgun Gothic" w:hAnsi="Arial" w:cs="Arial"/>
          <w:b/>
          <w:lang w:val="en-US"/>
        </w:rPr>
      </w:pPr>
      <w:r w:rsidRPr="00C762E0">
        <w:rPr>
          <w:rFonts w:ascii="Arial" w:eastAsia="Malgun Gothic" w:hAnsi="Arial" w:cs="Arial"/>
          <w:b/>
          <w:lang w:val="en-US"/>
        </w:rPr>
        <w:t xml:space="preserve">Review and reporting </w:t>
      </w:r>
    </w:p>
    <w:p w:rsidR="00C762E0" w:rsidRPr="00C762E0" w:rsidRDefault="00C762E0" w:rsidP="00C762E0">
      <w:pPr>
        <w:spacing w:line="240" w:lineRule="auto"/>
        <w:ind w:left="360"/>
        <w:contextualSpacing/>
        <w:jc w:val="both"/>
        <w:rPr>
          <w:rFonts w:ascii="Calibri" w:eastAsia="Malgun Gothic" w:hAnsi="Calibri" w:cs="Arial"/>
          <w:b/>
          <w:lang w:val="en-US"/>
        </w:rPr>
      </w:pPr>
    </w:p>
    <w:p w:rsidR="00C762E0" w:rsidRPr="00C762E0" w:rsidRDefault="00C762E0" w:rsidP="00C762E0">
      <w:pPr>
        <w:tabs>
          <w:tab w:val="left" w:pos="2940"/>
        </w:tabs>
        <w:spacing w:after="240" w:line="240" w:lineRule="auto"/>
        <w:ind w:left="-5"/>
        <w:jc w:val="both"/>
        <w:rPr>
          <w:rFonts w:ascii="Arial" w:eastAsia="Malgun Gothic" w:hAnsi="Arial" w:cs="Arial"/>
          <w:lang w:val="en-US"/>
        </w:rPr>
      </w:pPr>
      <w:r w:rsidRPr="00C762E0">
        <w:rPr>
          <w:rFonts w:ascii="Arial" w:eastAsia="Malgun Gothic" w:hAnsi="Arial" w:cs="Arial"/>
          <w:lang w:val="en-US"/>
        </w:rPr>
        <w:t xml:space="preserve">The output of the meetings </w:t>
      </w:r>
      <w:proofErr w:type="gramStart"/>
      <w:r w:rsidRPr="00C762E0">
        <w:rPr>
          <w:rFonts w:ascii="Arial" w:eastAsia="Malgun Gothic" w:hAnsi="Arial" w:cs="Arial"/>
          <w:lang w:val="en-US"/>
        </w:rPr>
        <w:t>will be checked</w:t>
      </w:r>
      <w:proofErr w:type="gramEnd"/>
      <w:r w:rsidRPr="00C762E0">
        <w:rPr>
          <w:rFonts w:ascii="Arial" w:eastAsia="Malgun Gothic" w:hAnsi="Arial" w:cs="Arial"/>
          <w:lang w:val="en-US"/>
        </w:rPr>
        <w:t xml:space="preserve"> against key strategic planning actions and timeframes. </w:t>
      </w:r>
    </w:p>
    <w:p w:rsidR="000D3C3F" w:rsidRPr="00C762E0" w:rsidRDefault="00C762E0" w:rsidP="00C762E0">
      <w:pPr>
        <w:jc w:val="both"/>
        <w:rPr>
          <w:lang w:val="en-US"/>
        </w:rPr>
      </w:pPr>
      <w:r w:rsidRPr="00C762E0">
        <w:rPr>
          <w:rFonts w:ascii="Arial" w:eastAsia="SimSun" w:hAnsi="Arial" w:cs="Times New Roman"/>
          <w:noProof/>
          <w:snapToGrid w:val="0"/>
          <w:lang w:val="en-US" w:eastAsia="zh-CN"/>
        </w:rPr>
        <w:t>The summaries of the planning group meetings will be made available on the Decade website. Each year, starting in 2019, the Planning Group will submit a report of its activities to the IOC Governing Bodies, as well as to UN-Oceans</w:t>
      </w:r>
    </w:p>
    <w:sectPr w:rsidR="000D3C3F" w:rsidRPr="00C76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55882"/>
    <w:multiLevelType w:val="hybridMultilevel"/>
    <w:tmpl w:val="8326A9B8"/>
    <w:lvl w:ilvl="0" w:tplc="E8941B68">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5435B8"/>
    <w:multiLevelType w:val="hybridMultilevel"/>
    <w:tmpl w:val="21507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DC1684"/>
    <w:multiLevelType w:val="hybridMultilevel"/>
    <w:tmpl w:val="FE140E6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FD62EC9"/>
    <w:multiLevelType w:val="hybridMultilevel"/>
    <w:tmpl w:val="201E9D26"/>
    <w:lvl w:ilvl="0" w:tplc="25E63FE4">
      <w:start w:val="14"/>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E0"/>
    <w:rsid w:val="000D3C3F"/>
    <w:rsid w:val="00C762E0"/>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52BC"/>
  <w15:chartTrackingRefBased/>
  <w15:docId w15:val="{74126AB7-7D14-455E-A31F-D2C05692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1115</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Rigaud, Julie</dc:creator>
  <cp:keywords/>
  <dc:description/>
  <cp:lastModifiedBy>Rigaud, Julie</cp:lastModifiedBy>
  <cp:revision>1</cp:revision>
  <dcterms:created xsi:type="dcterms:W3CDTF">2018-07-18T15:57:00Z</dcterms:created>
  <dcterms:modified xsi:type="dcterms:W3CDTF">2018-07-18T16:01:00Z</dcterms:modified>
</cp:coreProperties>
</file>